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E011F"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1E329551" w14:textId="5BE26FB8" w:rsidR="008720EB" w:rsidRPr="00244370" w:rsidRDefault="008720EB" w:rsidP="002F6CE5">
      <w:pPr>
        <w:ind w:left="2292" w:hanging="2292"/>
        <w:rPr>
          <w:lang w:val="en-US"/>
        </w:rPr>
      </w:pPr>
      <w:r w:rsidRPr="00244370">
        <w:rPr>
          <w:lang w:val="en-US"/>
        </w:rPr>
        <w:t xml:space="preserve">SCORECARD </w:t>
      </w:r>
      <w:r w:rsidR="00026C08" w:rsidRPr="00244370">
        <w:rPr>
          <w:lang w:val="en-US"/>
        </w:rPr>
        <w:tab/>
        <w:t>W</w:t>
      </w:r>
      <w:r w:rsidR="00244370" w:rsidRPr="00244370">
        <w:rPr>
          <w:lang w:val="en-US"/>
        </w:rPr>
        <w:t xml:space="preserve">orld Trade Organization </w:t>
      </w:r>
      <w:r w:rsidR="00026C08" w:rsidRPr="00244370">
        <w:rPr>
          <w:lang w:val="en-US"/>
        </w:rPr>
        <w:t>(WTO)</w:t>
      </w:r>
    </w:p>
    <w:p w14:paraId="58102A00" w14:textId="77777777" w:rsidR="008720EB" w:rsidRPr="00244370" w:rsidRDefault="008720EB" w:rsidP="002F6CE5">
      <w:pPr>
        <w:ind w:left="2292" w:hanging="2292"/>
        <w:rPr>
          <w:lang w:val="en-US"/>
        </w:rPr>
      </w:pPr>
    </w:p>
    <w:p w14:paraId="0F6B6F78" w14:textId="72AE2345" w:rsidR="009B57FB" w:rsidRDefault="008706CB" w:rsidP="00857526">
      <w:pPr>
        <w:ind w:left="2292" w:hanging="2292"/>
      </w:pPr>
      <w:r>
        <w:fldChar w:fldCharType="begin"/>
      </w:r>
      <w:r>
        <w:instrText xml:space="preserve"> DOCPROPERTY  L_CONTACT  \* MERGEFORMAT </w:instrText>
      </w:r>
      <w:r>
        <w:fldChar w:fldCharType="separate"/>
      </w:r>
      <w:r w:rsidR="00BA3472">
        <w:t>Opgesteld door</w:t>
      </w:r>
      <w:r>
        <w:fldChar w:fldCharType="end"/>
      </w:r>
      <w:r w:rsidR="002F6CE5" w:rsidRPr="00785F18">
        <w:tab/>
      </w:r>
      <w:r w:rsidR="003A65E8">
        <w:t xml:space="preserve">Directie </w:t>
      </w:r>
      <w:r w:rsidR="002604F1">
        <w:t>Internationale Marktordening en Handelspolitiek</w:t>
      </w:r>
    </w:p>
    <w:p w14:paraId="1D8C1115" w14:textId="77777777" w:rsidR="00857526" w:rsidRDefault="00857526" w:rsidP="00857526">
      <w:pPr>
        <w:ind w:left="2292" w:hanging="2292"/>
      </w:pPr>
    </w:p>
    <w:p w14:paraId="6477A3B9" w14:textId="77777777" w:rsidR="00857526" w:rsidRDefault="00857526" w:rsidP="002F6CE5">
      <w:pPr>
        <w:ind w:left="2292" w:hanging="2292"/>
      </w:pPr>
      <w:r>
        <w:t>Redacteur:</w:t>
      </w:r>
      <w:r>
        <w:tab/>
        <w:t>Rozemarijn Vermeulen</w:t>
      </w:r>
    </w:p>
    <w:p w14:paraId="27E61D34" w14:textId="020F33F4" w:rsidR="00857526" w:rsidRDefault="008706CB" w:rsidP="002F6CE5">
      <w:pPr>
        <w:ind w:left="2292" w:hanging="2292"/>
      </w:pPr>
      <w:r>
        <w:tab/>
        <w:t>Afgestemd met DMM, PV Genève</w:t>
      </w:r>
      <w:r w:rsidR="00857526">
        <w:t>, DDE</w:t>
      </w:r>
      <w:r w:rsidR="00857526">
        <w:tab/>
      </w:r>
      <w:r w:rsidR="00857526">
        <w:tab/>
      </w:r>
    </w:p>
    <w:tbl>
      <w:tblPr>
        <w:tblW w:w="0" w:type="auto"/>
        <w:tblLook w:val="01E0" w:firstRow="1" w:lastRow="1" w:firstColumn="1" w:lastColumn="1" w:noHBand="0" w:noVBand="0"/>
      </w:tblPr>
      <w:tblGrid>
        <w:gridCol w:w="2241"/>
        <w:gridCol w:w="5485"/>
      </w:tblGrid>
      <w:tr w:rsidR="002F6CE5" w:rsidRPr="00785F18" w14:paraId="449B615A" w14:textId="77777777" w:rsidTr="00857526">
        <w:trPr>
          <w:trHeight w:val="890"/>
        </w:trPr>
        <w:tc>
          <w:tcPr>
            <w:tcW w:w="2241" w:type="dxa"/>
            <w:shd w:val="clear" w:color="auto" w:fill="auto"/>
          </w:tcPr>
          <w:p w14:paraId="72B5DEE9" w14:textId="62B094F0" w:rsidR="002F6CE5" w:rsidRPr="00785F18" w:rsidRDefault="002F6CE5" w:rsidP="006C5267"/>
        </w:tc>
        <w:tc>
          <w:tcPr>
            <w:tcW w:w="5485" w:type="dxa"/>
            <w:shd w:val="clear" w:color="auto" w:fill="auto"/>
          </w:tcPr>
          <w:p w14:paraId="3FA5292D" w14:textId="12A518AE" w:rsidR="002F6CE5" w:rsidRPr="00785F18" w:rsidRDefault="002F6CE5" w:rsidP="00C30E66"/>
        </w:tc>
      </w:tr>
    </w:tbl>
    <w:p w14:paraId="082ED06F" w14:textId="77777777" w:rsidR="00991C2E" w:rsidRDefault="00991C2E" w:rsidP="00991C2E"/>
    <w:p w14:paraId="114A65A7" w14:textId="77777777" w:rsidR="00991C2E" w:rsidRDefault="00991C2E" w:rsidP="00991C2E"/>
    <w:p w14:paraId="3B322AD0" w14:textId="77777777" w:rsidR="00991C2E" w:rsidRDefault="00991C2E" w:rsidP="00991C2E"/>
    <w:p w14:paraId="2B6B70BC" w14:textId="77777777" w:rsidR="00326699" w:rsidRDefault="00326699" w:rsidP="00326699">
      <w:pPr>
        <w:spacing w:line="240" w:lineRule="auto"/>
      </w:pPr>
    </w:p>
    <w:p w14:paraId="6CD6528E" w14:textId="77777777" w:rsidR="00326699" w:rsidRDefault="00326699" w:rsidP="00326699">
      <w:pPr>
        <w:spacing w:line="240" w:lineRule="auto"/>
        <w:sectPr w:rsidR="00326699" w:rsidSect="007D6565">
          <w:headerReference w:type="even" r:id="rId11"/>
          <w:headerReference w:type="default" r:id="rId12"/>
          <w:footerReference w:type="even" r:id="rId13"/>
          <w:footerReference w:type="default" r:id="rId14"/>
          <w:headerReference w:type="first" r:id="rId15"/>
          <w:footerReference w:type="first" r:id="rId16"/>
          <w:pgSz w:w="11906" w:h="16838" w:code="9"/>
          <w:pgMar w:top="2520" w:right="960" w:bottom="1080" w:left="3220" w:header="200" w:footer="660" w:gutter="0"/>
          <w:cols w:space="708"/>
          <w:titlePg/>
          <w:docGrid w:linePitch="360"/>
        </w:sectPr>
      </w:pPr>
    </w:p>
    <w:bookmarkEnd w:id="0"/>
    <w:bookmarkEnd w:id="1"/>
    <w:bookmarkEnd w:id="2"/>
    <w:bookmarkEnd w:id="3"/>
    <w:p w14:paraId="365F14F4" w14:textId="77777777" w:rsidR="00A908F9" w:rsidRDefault="00A908F9" w:rsidP="00A908F9">
      <w:pPr>
        <w:pStyle w:val="Kop-Inhoudsopgave"/>
      </w:pPr>
    </w:p>
    <w:p w14:paraId="0EA074EC" w14:textId="77777777" w:rsidR="00A908F9" w:rsidRDefault="00A908F9" w:rsidP="00A908F9">
      <w:pPr>
        <w:pStyle w:val="Kop-Inhoudsopgave"/>
      </w:pPr>
    </w:p>
    <w:p w14:paraId="6B5326BB" w14:textId="77777777" w:rsidR="00A908F9" w:rsidRDefault="008720EB" w:rsidP="00A908F9">
      <w:pPr>
        <w:pStyle w:val="Kop-Inhoudsopgave"/>
      </w:pPr>
      <w:r>
        <w:br w:type="page"/>
      </w:r>
      <w:r w:rsidR="008706CB">
        <w:lastRenderedPageBreak/>
        <w:fldChar w:fldCharType="begin"/>
      </w:r>
      <w:r w:rsidR="008706CB">
        <w:instrText xml:space="preserve"> DOCPROPERTY  L_TOC  \* MERGEFORMAT </w:instrText>
      </w:r>
      <w:r w:rsidR="008706CB">
        <w:fldChar w:fldCharType="separate"/>
      </w:r>
      <w:bookmarkStart w:id="8" w:name="_Toc287454445"/>
      <w:bookmarkStart w:id="9" w:name="_Toc287446465"/>
      <w:bookmarkStart w:id="10" w:name="_Toc491440341"/>
      <w:r w:rsidR="00BA3472">
        <w:t>Inhoudsopgave</w:t>
      </w:r>
      <w:bookmarkEnd w:id="8"/>
      <w:bookmarkEnd w:id="9"/>
      <w:bookmarkEnd w:id="10"/>
      <w:r w:rsidR="008706CB">
        <w:fldChar w:fldCharType="end"/>
      </w:r>
    </w:p>
    <w:p w14:paraId="296CA329" w14:textId="5BD5445E" w:rsidR="008706CB" w:rsidRDefault="004541F0">
      <w:pPr>
        <w:pStyle w:val="TOC1"/>
        <w:tabs>
          <w:tab w:val="right" w:leader="dot" w:pos="7716"/>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8706CB">
        <w:rPr>
          <w:noProof/>
        </w:rPr>
        <w:t>Inhoudsopgave</w:t>
      </w:r>
      <w:r w:rsidR="008706CB">
        <w:rPr>
          <w:noProof/>
        </w:rPr>
        <w:tab/>
      </w:r>
      <w:r w:rsidR="008706CB">
        <w:rPr>
          <w:noProof/>
        </w:rPr>
        <w:fldChar w:fldCharType="begin"/>
      </w:r>
      <w:r w:rsidR="008706CB">
        <w:rPr>
          <w:noProof/>
        </w:rPr>
        <w:instrText xml:space="preserve"> PAGEREF _Toc491440341 \h </w:instrText>
      </w:r>
      <w:r w:rsidR="008706CB">
        <w:rPr>
          <w:noProof/>
        </w:rPr>
      </w:r>
      <w:r w:rsidR="008706CB">
        <w:rPr>
          <w:noProof/>
        </w:rPr>
        <w:fldChar w:fldCharType="separate"/>
      </w:r>
      <w:r w:rsidR="008706CB">
        <w:rPr>
          <w:noProof/>
        </w:rPr>
        <w:t>2</w:t>
      </w:r>
      <w:r w:rsidR="008706CB">
        <w:rPr>
          <w:noProof/>
        </w:rPr>
        <w:fldChar w:fldCharType="end"/>
      </w:r>
    </w:p>
    <w:p w14:paraId="47BC20AE" w14:textId="488BC982" w:rsidR="008706CB" w:rsidRDefault="008706CB">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_Toc491440342 \h </w:instrText>
      </w:r>
      <w:r>
        <w:fldChar w:fldCharType="separate"/>
      </w:r>
      <w:r>
        <w:t>3</w:t>
      </w:r>
      <w:r>
        <w:fldChar w:fldCharType="end"/>
      </w:r>
    </w:p>
    <w:p w14:paraId="173E8350" w14:textId="6CAD661B" w:rsidR="008706CB" w:rsidRDefault="008706CB">
      <w:pPr>
        <w:pStyle w:val="TOC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_Toc491440343 \h </w:instrText>
      </w:r>
      <w:r>
        <w:fldChar w:fldCharType="separate"/>
      </w:r>
      <w:r>
        <w:t>3</w:t>
      </w:r>
      <w:r>
        <w:fldChar w:fldCharType="end"/>
      </w:r>
    </w:p>
    <w:p w14:paraId="54404E35" w14:textId="1458A38B" w:rsidR="008706CB" w:rsidRDefault="008706CB">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_Toc491440344 \h </w:instrText>
      </w:r>
      <w:r>
        <w:fldChar w:fldCharType="separate"/>
      </w:r>
      <w:r>
        <w:t>3</w:t>
      </w:r>
      <w:r>
        <w:fldChar w:fldCharType="end"/>
      </w:r>
    </w:p>
    <w:p w14:paraId="42051F4B" w14:textId="4FA75EFA" w:rsidR="008706CB" w:rsidRDefault="008706CB">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_Toc491440345 \h </w:instrText>
      </w:r>
      <w:r>
        <w:fldChar w:fldCharType="separate"/>
      </w:r>
      <w:r>
        <w:t>5</w:t>
      </w:r>
      <w:r>
        <w:fldChar w:fldCharType="end"/>
      </w:r>
    </w:p>
    <w:p w14:paraId="598E6A7E" w14:textId="49C93B61" w:rsidR="008706CB" w:rsidRDefault="008706CB">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_Toc491440346 \h </w:instrText>
      </w:r>
      <w:r>
        <w:fldChar w:fldCharType="separate"/>
      </w:r>
      <w:r>
        <w:t>6</w:t>
      </w:r>
      <w:r>
        <w:fldChar w:fldCharType="end"/>
      </w:r>
    </w:p>
    <w:p w14:paraId="47985357" w14:textId="1550DF9B" w:rsidR="008706CB" w:rsidRDefault="008706CB">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_Toc491440347 \h </w:instrText>
      </w:r>
      <w:r>
        <w:fldChar w:fldCharType="separate"/>
      </w:r>
      <w:r>
        <w:t>6</w:t>
      </w:r>
      <w:r>
        <w:fldChar w:fldCharType="end"/>
      </w:r>
    </w:p>
    <w:p w14:paraId="39C21C34" w14:textId="4B8363BA" w:rsidR="008706CB" w:rsidRDefault="008706CB">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_Toc491440348 \h </w:instrText>
      </w:r>
      <w:r>
        <w:fldChar w:fldCharType="separate"/>
      </w:r>
      <w:r>
        <w:t>6</w:t>
      </w:r>
      <w:r>
        <w:fldChar w:fldCharType="end"/>
      </w:r>
    </w:p>
    <w:p w14:paraId="66C0CA6F" w14:textId="7744A36D" w:rsidR="008706CB" w:rsidRDefault="008706CB">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_Toc491440349 \h </w:instrText>
      </w:r>
      <w:r>
        <w:fldChar w:fldCharType="separate"/>
      </w:r>
      <w:r>
        <w:t>8</w:t>
      </w:r>
      <w:r>
        <w:fldChar w:fldCharType="end"/>
      </w:r>
    </w:p>
    <w:p w14:paraId="0D22F279" w14:textId="7908B92F" w:rsidR="008706CB" w:rsidRDefault="008706CB">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_Toc491440350 \h </w:instrText>
      </w:r>
      <w:r>
        <w:fldChar w:fldCharType="separate"/>
      </w:r>
      <w:r>
        <w:t>8</w:t>
      </w:r>
      <w:r>
        <w:fldChar w:fldCharType="end"/>
      </w:r>
    </w:p>
    <w:p w14:paraId="10BCBFE3" w14:textId="13A9B048" w:rsidR="008706CB" w:rsidRDefault="008706CB">
      <w:pPr>
        <w:pStyle w:val="TOC2"/>
        <w:rPr>
          <w:rFonts w:asciiTheme="minorHAnsi" w:eastAsiaTheme="minorEastAsia" w:hAnsiTheme="minorHAnsi" w:cstheme="minorBidi"/>
          <w:b w:val="0"/>
          <w:sz w:val="22"/>
          <w:szCs w:val="22"/>
        </w:rPr>
      </w:pPr>
      <w:r>
        <w:t xml:space="preserve">4            </w:t>
      </w:r>
      <w:r>
        <w:tab/>
        <w:t>Institutionele aspecten en functioneren van de organisatie</w:t>
      </w:r>
      <w:r>
        <w:tab/>
      </w:r>
      <w:r>
        <w:fldChar w:fldCharType="begin"/>
      </w:r>
      <w:r>
        <w:instrText xml:space="preserve"> PAGEREF _Toc491440351 \h </w:instrText>
      </w:r>
      <w:r>
        <w:fldChar w:fldCharType="separate"/>
      </w:r>
      <w:r>
        <w:t>11</w:t>
      </w:r>
      <w:r>
        <w:fldChar w:fldCharType="end"/>
      </w:r>
    </w:p>
    <w:p w14:paraId="341A1639" w14:textId="736AB4AD" w:rsidR="008706CB" w:rsidRDefault="008706CB">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_Toc491440352 \h </w:instrText>
      </w:r>
      <w:r>
        <w:fldChar w:fldCharType="separate"/>
      </w:r>
      <w:r>
        <w:t>11</w:t>
      </w:r>
      <w:r>
        <w:fldChar w:fldCharType="end"/>
      </w:r>
    </w:p>
    <w:p w14:paraId="67D3495E" w14:textId="1BF48179" w:rsidR="008706CB" w:rsidRDefault="008706CB">
      <w:pPr>
        <w:pStyle w:val="TOC3"/>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Resultaatgerichtheid en transparantie</w:t>
      </w:r>
      <w:r>
        <w:tab/>
      </w:r>
      <w:r>
        <w:fldChar w:fldCharType="begin"/>
      </w:r>
      <w:r>
        <w:instrText xml:space="preserve"> PAGEREF _Toc491440353 \h </w:instrText>
      </w:r>
      <w:r>
        <w:fldChar w:fldCharType="separate"/>
      </w:r>
      <w:r>
        <w:t>12</w:t>
      </w:r>
      <w:r>
        <w:fldChar w:fldCharType="end"/>
      </w:r>
    </w:p>
    <w:p w14:paraId="2FB291FC" w14:textId="0F3216A9" w:rsidR="008706CB" w:rsidRDefault="008706CB">
      <w:pPr>
        <w:pStyle w:val="TOC3"/>
        <w:rPr>
          <w:rFonts w:asciiTheme="minorHAnsi" w:eastAsiaTheme="minorEastAsia" w:hAnsiTheme="minorHAnsi" w:cstheme="minorBidi"/>
          <w:sz w:val="22"/>
          <w:szCs w:val="22"/>
        </w:rPr>
      </w:pPr>
      <w:r w:rsidRPr="008706CB">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_Toc491440354 \h </w:instrText>
      </w:r>
      <w:r>
        <w:fldChar w:fldCharType="separate"/>
      </w:r>
      <w:r>
        <w:t>12</w:t>
      </w:r>
      <w:r>
        <w:fldChar w:fldCharType="end"/>
      </w:r>
    </w:p>
    <w:p w14:paraId="70974D88" w14:textId="49E3920C" w:rsidR="008706CB" w:rsidRDefault="008706CB">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_Toc491440355 \h </w:instrText>
      </w:r>
      <w:r>
        <w:fldChar w:fldCharType="separate"/>
      </w:r>
      <w:r>
        <w:t>13</w:t>
      </w:r>
      <w:r>
        <w:fldChar w:fldCharType="end"/>
      </w:r>
    </w:p>
    <w:p w14:paraId="77864434" w14:textId="1C9A460D" w:rsidR="008706CB" w:rsidRDefault="008706CB">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_Toc491440356 \h </w:instrText>
      </w:r>
      <w:r>
        <w:fldChar w:fldCharType="separate"/>
      </w:r>
      <w:r>
        <w:t>14</w:t>
      </w:r>
      <w:r>
        <w:fldChar w:fldCharType="end"/>
      </w:r>
    </w:p>
    <w:p w14:paraId="74F36B02" w14:textId="1D60CD83" w:rsidR="008706CB" w:rsidRDefault="008706CB">
      <w:pPr>
        <w:pStyle w:val="TOC3"/>
        <w:rPr>
          <w:rFonts w:asciiTheme="minorHAnsi" w:eastAsiaTheme="minorEastAsia" w:hAnsiTheme="minorHAnsi" w:cstheme="minorBidi"/>
          <w:sz w:val="22"/>
          <w:szCs w:val="22"/>
        </w:rPr>
      </w:pPr>
      <w:r>
        <w:t>4.6              Human Resource Management</w:t>
      </w:r>
      <w:r>
        <w:tab/>
      </w:r>
      <w:r>
        <w:fldChar w:fldCharType="begin"/>
      </w:r>
      <w:r>
        <w:instrText xml:space="preserve"> PAGEREF _Toc491440357 \h </w:instrText>
      </w:r>
      <w:r>
        <w:fldChar w:fldCharType="separate"/>
      </w:r>
      <w:r>
        <w:t>14</w:t>
      </w:r>
      <w:r>
        <w:fldChar w:fldCharType="end"/>
      </w:r>
    </w:p>
    <w:p w14:paraId="395D3020" w14:textId="44992410" w:rsidR="008706CB" w:rsidRDefault="008706CB">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_Toc491440358 \h </w:instrText>
      </w:r>
      <w:r>
        <w:fldChar w:fldCharType="separate"/>
      </w:r>
      <w:r>
        <w:t>15</w:t>
      </w:r>
      <w:r>
        <w:fldChar w:fldCharType="end"/>
      </w:r>
    </w:p>
    <w:p w14:paraId="470C13F7" w14:textId="06F26B2E" w:rsidR="008706CB" w:rsidRDefault="008706CB">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_Toc491440359 \h </w:instrText>
      </w:r>
      <w:r>
        <w:fldChar w:fldCharType="separate"/>
      </w:r>
      <w:r>
        <w:t>16</w:t>
      </w:r>
      <w:r>
        <w:fldChar w:fldCharType="end"/>
      </w:r>
    </w:p>
    <w:p w14:paraId="3566CA7D" w14:textId="4E9C5E5F" w:rsidR="008706CB" w:rsidRDefault="008706CB">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_Toc491440360 \h </w:instrText>
      </w:r>
      <w:r>
        <w:fldChar w:fldCharType="separate"/>
      </w:r>
      <w:r>
        <w:t>17</w:t>
      </w:r>
      <w:r>
        <w:fldChar w:fldCharType="end"/>
      </w:r>
    </w:p>
    <w:p w14:paraId="4372FC7F" w14:textId="3CEC0C8F" w:rsidR="008706CB" w:rsidRDefault="008706CB">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_Toc491440361 \h </w:instrText>
      </w:r>
      <w:r>
        <w:fldChar w:fldCharType="separate"/>
      </w:r>
      <w:r>
        <w:t>18</w:t>
      </w:r>
      <w:r>
        <w:fldChar w:fldCharType="end"/>
      </w:r>
    </w:p>
    <w:p w14:paraId="2D4D5ADF" w14:textId="3364BA82" w:rsidR="008706CB" w:rsidRDefault="008706CB">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_Toc491440362 \h </w:instrText>
      </w:r>
      <w:r>
        <w:fldChar w:fldCharType="separate"/>
      </w:r>
      <w:r>
        <w:t>18</w:t>
      </w:r>
      <w:r>
        <w:fldChar w:fldCharType="end"/>
      </w:r>
    </w:p>
    <w:p w14:paraId="0BA3E279" w14:textId="4E1AA354" w:rsidR="008706CB" w:rsidRDefault="008706CB">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_Toc491440363 \h </w:instrText>
      </w:r>
      <w:r>
        <w:fldChar w:fldCharType="separate"/>
      </w:r>
      <w:r>
        <w:t>18</w:t>
      </w:r>
      <w:r>
        <w:fldChar w:fldCharType="end"/>
      </w:r>
    </w:p>
    <w:p w14:paraId="1E768087" w14:textId="595B94E9" w:rsidR="00261F77" w:rsidRPr="00290657" w:rsidRDefault="004541F0" w:rsidP="0014161D">
      <w:pPr>
        <w:pStyle w:val="TOC3"/>
        <w:rPr>
          <w:rFonts w:ascii="Calibri" w:hAnsi="Calibri"/>
          <w:sz w:val="22"/>
          <w:szCs w:val="22"/>
        </w:rPr>
      </w:pPr>
      <w:r w:rsidRPr="00785F18">
        <w:fldChar w:fldCharType="end"/>
      </w:r>
    </w:p>
    <w:p w14:paraId="208CD330" w14:textId="77777777" w:rsidR="00101F98" w:rsidRPr="00785F18" w:rsidRDefault="00101F98" w:rsidP="00163FA2">
      <w:pPr>
        <w:tabs>
          <w:tab w:val="left" w:pos="0"/>
        </w:tabs>
      </w:pPr>
    </w:p>
    <w:p w14:paraId="7663C0CC" w14:textId="77777777" w:rsidR="00A908F9" w:rsidRDefault="00A908F9" w:rsidP="00101F98"/>
    <w:p w14:paraId="5E7B2BD7" w14:textId="77777777" w:rsidR="00A908F9" w:rsidRPr="00A908F9" w:rsidRDefault="00A908F9" w:rsidP="00A908F9"/>
    <w:p w14:paraId="578020AD" w14:textId="77777777" w:rsidR="00A908F9" w:rsidRPr="00A908F9" w:rsidRDefault="00A908F9" w:rsidP="00A908F9"/>
    <w:p w14:paraId="58316C1C" w14:textId="77777777" w:rsidR="00A908F9" w:rsidRDefault="00A908F9" w:rsidP="00A908F9">
      <w:pPr>
        <w:jc w:val="center"/>
      </w:pPr>
      <w:bookmarkStart w:id="11" w:name="_GoBack"/>
      <w:bookmarkEnd w:id="11"/>
    </w:p>
    <w:p w14:paraId="5BC305B5" w14:textId="77777777" w:rsidR="00101F98" w:rsidRPr="00A908F9" w:rsidRDefault="00101F98" w:rsidP="00A908F9">
      <w:pPr>
        <w:sectPr w:rsidR="00101F98" w:rsidRPr="00A908F9" w:rsidSect="00EE1B9E">
          <w:headerReference w:type="first" r:id="rId17"/>
          <w:type w:val="continuous"/>
          <w:pgSz w:w="11906" w:h="16838" w:code="9"/>
          <w:pgMar w:top="2520" w:right="960" w:bottom="1080" w:left="3220" w:header="200" w:footer="660" w:gutter="0"/>
          <w:cols w:space="708"/>
          <w:titlePg/>
          <w:docGrid w:linePitch="360"/>
        </w:sectPr>
      </w:pPr>
    </w:p>
    <w:p w14:paraId="5604271E" w14:textId="67A6AEB5" w:rsidR="009A0711" w:rsidRDefault="009A0711" w:rsidP="009A0711">
      <w:pPr>
        <w:pStyle w:val="Heading1"/>
        <w:numPr>
          <w:ilvl w:val="0"/>
          <w:numId w:val="25"/>
        </w:numPr>
        <w:spacing w:after="240" w:line="240" w:lineRule="auto"/>
      </w:pPr>
      <w:bookmarkStart w:id="12" w:name="_Toc238533654"/>
      <w:bookmarkStart w:id="13" w:name="_Toc238537583"/>
      <w:bookmarkStart w:id="14" w:name="_Toc238538136"/>
      <w:bookmarkStart w:id="15" w:name="_Toc238538151"/>
      <w:bookmarkStart w:id="16" w:name="_Toc410397639"/>
      <w:bookmarkStart w:id="17" w:name="_Toc300822504"/>
      <w:bookmarkEnd w:id="12"/>
      <w:bookmarkEnd w:id="13"/>
      <w:bookmarkEnd w:id="14"/>
      <w:bookmarkEnd w:id="15"/>
      <w:r>
        <w:lastRenderedPageBreak/>
        <w:t xml:space="preserve">         </w:t>
      </w:r>
      <w:bookmarkStart w:id="18" w:name="_Toc491440342"/>
      <w:bookmarkEnd w:id="16"/>
      <w:r w:rsidR="005B6D87">
        <w:t>Samenvatting</w:t>
      </w:r>
      <w:bookmarkEnd w:id="18"/>
    </w:p>
    <w:p w14:paraId="388504F6" w14:textId="448E74A6" w:rsidR="009A0711" w:rsidRDefault="009A0711" w:rsidP="009A0711">
      <w:pPr>
        <w:pStyle w:val="Heading2"/>
        <w:tabs>
          <w:tab w:val="left" w:pos="-1162"/>
          <w:tab w:val="left" w:pos="0"/>
        </w:tabs>
        <w:spacing w:line="240" w:lineRule="auto"/>
        <w:ind w:left="-1162"/>
      </w:pPr>
      <w:bookmarkStart w:id="19" w:name="_Toc410397640"/>
      <w:bookmarkStart w:id="20" w:name="_Toc491440343"/>
      <w:r>
        <w:t>1.1</w:t>
      </w:r>
      <w:r>
        <w:tab/>
        <w:t>Institutionele aspecten en functioneren</w:t>
      </w:r>
      <w:bookmarkEnd w:id="19"/>
      <w:bookmarkEnd w:id="20"/>
    </w:p>
    <w:p w14:paraId="621C146D" w14:textId="77777777" w:rsidR="009A0711" w:rsidRDefault="009A0711" w:rsidP="009A0711">
      <w:r>
        <w:t xml:space="preserve">De WTO is een effectieve organisatie met een afgebakend mandaat, die doordat zij in zijn geheel door leden gedreven wordt, moeilijk te vergelijken is met andere multilaterale organisaties. </w:t>
      </w:r>
    </w:p>
    <w:p w14:paraId="6A48893D" w14:textId="77777777" w:rsidR="009A0711" w:rsidRDefault="009A0711" w:rsidP="009A0711"/>
    <w:p w14:paraId="7BC5DBB9" w14:textId="77777777" w:rsidR="009A0711" w:rsidRDefault="009A0711" w:rsidP="009A0711">
      <w:r>
        <w:t>Omdat veruit het grootste deel van het relatieve beperkte WTO-budget naar salarissen gaat, is het personeelsbeleid het belangrijkste element van de organisatie. De WTO heeft over het algemeen kundige medewerkers uit een groot aantal landen. De genderbalans is in orde, hoewel op managementniveau verdere stappen nodig zijn. De mobiliteit van werknemers is laag, wat zou kunnen duiden op een inflexibele organisatie, maar wat zeker ook niet kan worden losgezien van het specifieke profiel van het grootste deel van de WTO-staf, namelijk WTO- handelsbeleid of aanverwant. Verder is het financieel management van de WTO goed op orde, net als de procedures voor corruptiebestrijding.</w:t>
      </w:r>
    </w:p>
    <w:p w14:paraId="708B3DFE" w14:textId="77777777" w:rsidR="009A0711" w:rsidRDefault="009A0711" w:rsidP="009A0711"/>
    <w:p w14:paraId="28D627CB" w14:textId="77777777" w:rsidR="009A0711" w:rsidRDefault="009A0711" w:rsidP="009A0711">
      <w:r>
        <w:t xml:space="preserve">Voor wat betreft de door de WTO georganiseerde technische assistentie kan worden gesteld dat de focus, uitvoering en evaluatie van de activiteiten en de kostenefficiëntie naar behoren zijn. </w:t>
      </w:r>
    </w:p>
    <w:p w14:paraId="3AC16D97" w14:textId="77777777" w:rsidR="009A0711" w:rsidRDefault="009A0711" w:rsidP="009A0711"/>
    <w:tbl>
      <w:tblPr>
        <w:tblW w:w="7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8"/>
        <w:gridCol w:w="841"/>
        <w:gridCol w:w="1374"/>
      </w:tblGrid>
      <w:tr w:rsidR="009A0711" w14:paraId="1D18E3B1" w14:textId="77777777" w:rsidTr="00D20A5C">
        <w:tc>
          <w:tcPr>
            <w:tcW w:w="5708" w:type="dxa"/>
            <w:tcBorders>
              <w:top w:val="single" w:sz="12" w:space="0" w:color="auto"/>
              <w:left w:val="single" w:sz="12" w:space="0" w:color="auto"/>
              <w:bottom w:val="single" w:sz="12" w:space="0" w:color="auto"/>
            </w:tcBorders>
            <w:shd w:val="clear" w:color="auto" w:fill="BFBFBF" w:themeFill="background1" w:themeFillShade="BF"/>
          </w:tcPr>
          <w:p w14:paraId="7ABE2504" w14:textId="7C84B8CC" w:rsidR="009A0711" w:rsidRDefault="009A0711" w:rsidP="009A0711">
            <w:r w:rsidRPr="008F1B70">
              <w:rPr>
                <w:b/>
              </w:rPr>
              <w:t xml:space="preserve">Institutionele aspecten </w:t>
            </w:r>
            <w:r>
              <w:rPr>
                <w:b/>
              </w:rPr>
              <w:t>en functioneren</w:t>
            </w:r>
          </w:p>
        </w:tc>
        <w:tc>
          <w:tcPr>
            <w:tcW w:w="841" w:type="dxa"/>
            <w:tcBorders>
              <w:top w:val="single" w:sz="12" w:space="0" w:color="auto"/>
              <w:bottom w:val="single" w:sz="12" w:space="0" w:color="auto"/>
            </w:tcBorders>
            <w:shd w:val="clear" w:color="auto" w:fill="BFBFBF" w:themeFill="background1" w:themeFillShade="BF"/>
          </w:tcPr>
          <w:p w14:paraId="6B9F166B" w14:textId="77777777" w:rsidR="009A0711" w:rsidRDefault="009A0711" w:rsidP="009A0711">
            <w:r>
              <w:t>Score</w:t>
            </w:r>
          </w:p>
        </w:tc>
        <w:tc>
          <w:tcPr>
            <w:tcW w:w="1374" w:type="dxa"/>
            <w:tcBorders>
              <w:top w:val="single" w:sz="12" w:space="0" w:color="auto"/>
              <w:bottom w:val="single" w:sz="12" w:space="0" w:color="auto"/>
              <w:right w:val="single" w:sz="12" w:space="0" w:color="auto"/>
            </w:tcBorders>
            <w:shd w:val="clear" w:color="auto" w:fill="BFBFBF" w:themeFill="background1" w:themeFillShade="BF"/>
          </w:tcPr>
          <w:p w14:paraId="512BEC66" w14:textId="77777777" w:rsidR="009A0711" w:rsidRDefault="009A0711" w:rsidP="009A0711">
            <w:r>
              <w:t>Verandering</w:t>
            </w:r>
          </w:p>
        </w:tc>
      </w:tr>
      <w:tr w:rsidR="009A0711" w14:paraId="4D2E5C45" w14:textId="77777777" w:rsidTr="00D20A5C">
        <w:tc>
          <w:tcPr>
            <w:tcW w:w="5708" w:type="dxa"/>
            <w:tcBorders>
              <w:top w:val="single" w:sz="12" w:space="0" w:color="auto"/>
              <w:left w:val="single" w:sz="12" w:space="0" w:color="auto"/>
            </w:tcBorders>
            <w:shd w:val="clear" w:color="auto" w:fill="auto"/>
          </w:tcPr>
          <w:p w14:paraId="52A64245" w14:textId="77777777" w:rsidR="009A0711" w:rsidRPr="00C26035" w:rsidRDefault="009A0711" w:rsidP="009A0711">
            <w:r>
              <w:t>Strategie en verantwoording</w:t>
            </w:r>
            <w:r w:rsidRPr="00C26035">
              <w:t xml:space="preserve"> </w:t>
            </w:r>
          </w:p>
        </w:tc>
        <w:tc>
          <w:tcPr>
            <w:tcW w:w="841" w:type="dxa"/>
            <w:tcBorders>
              <w:top w:val="single" w:sz="12" w:space="0" w:color="auto"/>
            </w:tcBorders>
            <w:shd w:val="clear" w:color="auto" w:fill="auto"/>
            <w:vAlign w:val="center"/>
          </w:tcPr>
          <w:p w14:paraId="4F493505" w14:textId="77777777" w:rsidR="009A0711" w:rsidRDefault="009A0711" w:rsidP="009A0711">
            <w:pPr>
              <w:jc w:val="center"/>
            </w:pPr>
            <w:r>
              <w:t>4</w:t>
            </w:r>
          </w:p>
        </w:tc>
        <w:tc>
          <w:tcPr>
            <w:tcW w:w="1374" w:type="dxa"/>
            <w:tcBorders>
              <w:top w:val="single" w:sz="12" w:space="0" w:color="auto"/>
              <w:right w:val="single" w:sz="12" w:space="0" w:color="auto"/>
            </w:tcBorders>
            <w:shd w:val="clear" w:color="auto" w:fill="auto"/>
            <w:vAlign w:val="center"/>
          </w:tcPr>
          <w:p w14:paraId="4683E67E" w14:textId="77777777" w:rsidR="009A0711" w:rsidRDefault="009A0711" w:rsidP="009A0711">
            <w:pPr>
              <w:jc w:val="center"/>
            </w:pPr>
            <w:r w:rsidRPr="00193994">
              <w:sym w:font="Wingdings" w:char="F0E8"/>
            </w:r>
          </w:p>
        </w:tc>
      </w:tr>
      <w:tr w:rsidR="009A0711" w14:paraId="20727B0F" w14:textId="77777777" w:rsidTr="00D20A5C">
        <w:tc>
          <w:tcPr>
            <w:tcW w:w="5708" w:type="dxa"/>
            <w:tcBorders>
              <w:left w:val="single" w:sz="12" w:space="0" w:color="auto"/>
            </w:tcBorders>
            <w:shd w:val="clear" w:color="auto" w:fill="auto"/>
          </w:tcPr>
          <w:p w14:paraId="5B2540EB" w14:textId="77777777" w:rsidR="009A0711" w:rsidRDefault="009A0711" w:rsidP="009A0711">
            <w:r>
              <w:t>Resultaatgerichtheid en transparantie</w:t>
            </w:r>
          </w:p>
        </w:tc>
        <w:tc>
          <w:tcPr>
            <w:tcW w:w="841" w:type="dxa"/>
            <w:shd w:val="clear" w:color="auto" w:fill="auto"/>
            <w:vAlign w:val="center"/>
          </w:tcPr>
          <w:p w14:paraId="3F385628" w14:textId="77777777" w:rsidR="009A0711" w:rsidRDefault="009A0711" w:rsidP="009A0711">
            <w:pPr>
              <w:jc w:val="center"/>
            </w:pPr>
            <w:r>
              <w:t>3</w:t>
            </w:r>
          </w:p>
        </w:tc>
        <w:tc>
          <w:tcPr>
            <w:tcW w:w="1374" w:type="dxa"/>
            <w:tcBorders>
              <w:right w:val="single" w:sz="12" w:space="0" w:color="auto"/>
            </w:tcBorders>
            <w:shd w:val="clear" w:color="auto" w:fill="auto"/>
            <w:vAlign w:val="center"/>
          </w:tcPr>
          <w:p w14:paraId="6F4E0DC0" w14:textId="77777777" w:rsidR="009A0711" w:rsidRDefault="009A0711" w:rsidP="009A0711">
            <w:pPr>
              <w:jc w:val="center"/>
            </w:pPr>
            <w:r w:rsidRPr="0096432F">
              <w:sym w:font="Wingdings" w:char="F0E9"/>
            </w:r>
          </w:p>
        </w:tc>
      </w:tr>
      <w:tr w:rsidR="009A0711" w14:paraId="0C4CCD01" w14:textId="77777777" w:rsidTr="00D20A5C">
        <w:tc>
          <w:tcPr>
            <w:tcW w:w="5708" w:type="dxa"/>
            <w:tcBorders>
              <w:left w:val="single" w:sz="12" w:space="0" w:color="auto"/>
            </w:tcBorders>
            <w:shd w:val="clear" w:color="auto" w:fill="auto"/>
          </w:tcPr>
          <w:p w14:paraId="6D35BC01" w14:textId="77777777" w:rsidR="009A0711" w:rsidRDefault="009A0711" w:rsidP="009A0711">
            <w:r>
              <w:t>Partnerschappen en samenwerking</w:t>
            </w:r>
          </w:p>
        </w:tc>
        <w:tc>
          <w:tcPr>
            <w:tcW w:w="841" w:type="dxa"/>
            <w:shd w:val="clear" w:color="auto" w:fill="auto"/>
            <w:vAlign w:val="center"/>
          </w:tcPr>
          <w:p w14:paraId="417A75B6" w14:textId="77777777" w:rsidR="009A0711" w:rsidRDefault="009A0711" w:rsidP="009A0711">
            <w:pPr>
              <w:jc w:val="center"/>
            </w:pPr>
            <w:r>
              <w:t>3</w:t>
            </w:r>
          </w:p>
        </w:tc>
        <w:tc>
          <w:tcPr>
            <w:tcW w:w="1374" w:type="dxa"/>
            <w:tcBorders>
              <w:right w:val="single" w:sz="12" w:space="0" w:color="auto"/>
            </w:tcBorders>
            <w:shd w:val="clear" w:color="auto" w:fill="auto"/>
            <w:vAlign w:val="center"/>
          </w:tcPr>
          <w:p w14:paraId="1202B0FE" w14:textId="77777777" w:rsidR="009A0711" w:rsidRDefault="009A0711" w:rsidP="009A0711">
            <w:pPr>
              <w:jc w:val="center"/>
            </w:pPr>
            <w:r w:rsidRPr="00193994">
              <w:sym w:font="Wingdings" w:char="F0E8"/>
            </w:r>
          </w:p>
        </w:tc>
      </w:tr>
      <w:tr w:rsidR="009A0711" w14:paraId="2C0A4528" w14:textId="77777777" w:rsidTr="00D20A5C">
        <w:tc>
          <w:tcPr>
            <w:tcW w:w="5708" w:type="dxa"/>
            <w:tcBorders>
              <w:left w:val="single" w:sz="12" w:space="0" w:color="auto"/>
            </w:tcBorders>
            <w:shd w:val="clear" w:color="auto" w:fill="auto"/>
          </w:tcPr>
          <w:p w14:paraId="25B3D3C7" w14:textId="77777777" w:rsidR="009A0711" w:rsidRPr="00C26035" w:rsidRDefault="009A0711" w:rsidP="009A0711">
            <w:r>
              <w:t>Operationeel management</w:t>
            </w:r>
          </w:p>
        </w:tc>
        <w:tc>
          <w:tcPr>
            <w:tcW w:w="841" w:type="dxa"/>
            <w:shd w:val="clear" w:color="auto" w:fill="auto"/>
            <w:vAlign w:val="center"/>
          </w:tcPr>
          <w:p w14:paraId="7ED052D4" w14:textId="77777777" w:rsidR="009A0711" w:rsidRDefault="009A0711" w:rsidP="009A0711">
            <w:pPr>
              <w:jc w:val="center"/>
            </w:pPr>
            <w:r>
              <w:t>3</w:t>
            </w:r>
          </w:p>
        </w:tc>
        <w:tc>
          <w:tcPr>
            <w:tcW w:w="1374" w:type="dxa"/>
            <w:tcBorders>
              <w:right w:val="single" w:sz="12" w:space="0" w:color="auto"/>
            </w:tcBorders>
            <w:shd w:val="clear" w:color="auto" w:fill="auto"/>
            <w:vAlign w:val="center"/>
          </w:tcPr>
          <w:p w14:paraId="1906918B" w14:textId="77777777" w:rsidR="009A0711" w:rsidRDefault="009A0711" w:rsidP="009A0711">
            <w:pPr>
              <w:jc w:val="center"/>
            </w:pPr>
            <w:r w:rsidRPr="00193994">
              <w:sym w:font="Wingdings" w:char="F0E8"/>
            </w:r>
          </w:p>
        </w:tc>
      </w:tr>
      <w:tr w:rsidR="009A0711" w14:paraId="723C4F50" w14:textId="77777777" w:rsidTr="00D20A5C">
        <w:tc>
          <w:tcPr>
            <w:tcW w:w="5708" w:type="dxa"/>
            <w:tcBorders>
              <w:left w:val="single" w:sz="12" w:space="0" w:color="auto"/>
            </w:tcBorders>
            <w:shd w:val="clear" w:color="auto" w:fill="auto"/>
          </w:tcPr>
          <w:p w14:paraId="612451C2" w14:textId="77777777" w:rsidR="009A0711" w:rsidRPr="00C26035" w:rsidRDefault="009A0711" w:rsidP="009A0711">
            <w:r>
              <w:t>Beleidsevaluatie</w:t>
            </w:r>
          </w:p>
        </w:tc>
        <w:tc>
          <w:tcPr>
            <w:tcW w:w="841" w:type="dxa"/>
            <w:shd w:val="clear" w:color="auto" w:fill="auto"/>
            <w:vAlign w:val="center"/>
          </w:tcPr>
          <w:p w14:paraId="49617843" w14:textId="77777777" w:rsidR="009A0711" w:rsidRDefault="009A0711" w:rsidP="009A0711">
            <w:pPr>
              <w:jc w:val="center"/>
            </w:pPr>
            <w:r>
              <w:t>3</w:t>
            </w:r>
          </w:p>
        </w:tc>
        <w:tc>
          <w:tcPr>
            <w:tcW w:w="1374" w:type="dxa"/>
            <w:tcBorders>
              <w:right w:val="single" w:sz="12" w:space="0" w:color="auto"/>
            </w:tcBorders>
            <w:shd w:val="clear" w:color="auto" w:fill="auto"/>
            <w:vAlign w:val="center"/>
          </w:tcPr>
          <w:p w14:paraId="3B4F74B0" w14:textId="77777777" w:rsidR="009A0711" w:rsidRDefault="009A0711" w:rsidP="009A0711">
            <w:pPr>
              <w:jc w:val="center"/>
            </w:pPr>
            <w:r w:rsidRPr="00193994">
              <w:sym w:font="Wingdings" w:char="F0E8"/>
            </w:r>
          </w:p>
        </w:tc>
      </w:tr>
      <w:tr w:rsidR="009A0711" w14:paraId="2692C97F" w14:textId="77777777" w:rsidTr="00D20A5C">
        <w:tc>
          <w:tcPr>
            <w:tcW w:w="5708" w:type="dxa"/>
            <w:tcBorders>
              <w:left w:val="single" w:sz="12" w:space="0" w:color="auto"/>
            </w:tcBorders>
            <w:shd w:val="clear" w:color="auto" w:fill="auto"/>
          </w:tcPr>
          <w:p w14:paraId="4FD9444C" w14:textId="77777777" w:rsidR="009A0711" w:rsidRPr="00C26035" w:rsidRDefault="009A0711" w:rsidP="009A0711">
            <w:r w:rsidRPr="00C26035">
              <w:t>Human Resource Management</w:t>
            </w:r>
          </w:p>
        </w:tc>
        <w:tc>
          <w:tcPr>
            <w:tcW w:w="841" w:type="dxa"/>
            <w:shd w:val="clear" w:color="auto" w:fill="auto"/>
            <w:vAlign w:val="center"/>
          </w:tcPr>
          <w:p w14:paraId="5D1DF139" w14:textId="77777777" w:rsidR="009A0711" w:rsidRDefault="009A0711" w:rsidP="009A0711">
            <w:pPr>
              <w:jc w:val="center"/>
            </w:pPr>
            <w:r>
              <w:t>3</w:t>
            </w:r>
          </w:p>
        </w:tc>
        <w:tc>
          <w:tcPr>
            <w:tcW w:w="1374" w:type="dxa"/>
            <w:tcBorders>
              <w:right w:val="single" w:sz="12" w:space="0" w:color="auto"/>
            </w:tcBorders>
            <w:shd w:val="clear" w:color="auto" w:fill="auto"/>
            <w:vAlign w:val="center"/>
          </w:tcPr>
          <w:p w14:paraId="60BBFAD6" w14:textId="77777777" w:rsidR="009A0711" w:rsidRDefault="009A0711" w:rsidP="009A0711">
            <w:pPr>
              <w:jc w:val="center"/>
            </w:pPr>
            <w:r w:rsidRPr="0096432F">
              <w:sym w:font="Wingdings" w:char="F0E9"/>
            </w:r>
          </w:p>
        </w:tc>
      </w:tr>
      <w:tr w:rsidR="009A0711" w14:paraId="7E387211" w14:textId="77777777" w:rsidTr="00D20A5C">
        <w:tc>
          <w:tcPr>
            <w:tcW w:w="5708" w:type="dxa"/>
            <w:tcBorders>
              <w:left w:val="single" w:sz="12" w:space="0" w:color="auto"/>
            </w:tcBorders>
            <w:shd w:val="clear" w:color="auto" w:fill="auto"/>
          </w:tcPr>
          <w:p w14:paraId="4DE92C7A" w14:textId="77777777" w:rsidR="009A0711" w:rsidRPr="00445FEE" w:rsidRDefault="009A0711" w:rsidP="009A0711">
            <w:r w:rsidRPr="00445FEE">
              <w:t xml:space="preserve">Financiële </w:t>
            </w:r>
            <w:r>
              <w:t>stabiliteit</w:t>
            </w:r>
          </w:p>
        </w:tc>
        <w:tc>
          <w:tcPr>
            <w:tcW w:w="841" w:type="dxa"/>
            <w:shd w:val="clear" w:color="auto" w:fill="auto"/>
            <w:vAlign w:val="center"/>
          </w:tcPr>
          <w:p w14:paraId="055C27C1" w14:textId="77777777" w:rsidR="009A0711" w:rsidRDefault="009A0711" w:rsidP="009A0711">
            <w:pPr>
              <w:jc w:val="center"/>
            </w:pPr>
            <w:r>
              <w:t>4</w:t>
            </w:r>
          </w:p>
        </w:tc>
        <w:tc>
          <w:tcPr>
            <w:tcW w:w="1374" w:type="dxa"/>
            <w:tcBorders>
              <w:right w:val="single" w:sz="12" w:space="0" w:color="auto"/>
            </w:tcBorders>
            <w:shd w:val="clear" w:color="auto" w:fill="auto"/>
            <w:vAlign w:val="center"/>
          </w:tcPr>
          <w:p w14:paraId="3B6DCC03" w14:textId="77777777" w:rsidR="009A0711" w:rsidRDefault="009A0711" w:rsidP="009A0711">
            <w:pPr>
              <w:jc w:val="center"/>
            </w:pPr>
            <w:r w:rsidRPr="0096432F">
              <w:sym w:font="Wingdings" w:char="F0E9"/>
            </w:r>
          </w:p>
        </w:tc>
      </w:tr>
      <w:tr w:rsidR="009A0711" w14:paraId="6523C3ED" w14:textId="77777777" w:rsidTr="00D20A5C">
        <w:tc>
          <w:tcPr>
            <w:tcW w:w="5708" w:type="dxa"/>
            <w:tcBorders>
              <w:left w:val="single" w:sz="12" w:space="0" w:color="auto"/>
            </w:tcBorders>
            <w:shd w:val="clear" w:color="auto" w:fill="auto"/>
          </w:tcPr>
          <w:p w14:paraId="12B71C68" w14:textId="4E881FA7" w:rsidR="009A0711" w:rsidRPr="00445FEE" w:rsidRDefault="009A0711" w:rsidP="00924E90">
            <w:r>
              <w:t>Kosten</w:t>
            </w:r>
            <w:r w:rsidR="00924E90">
              <w:t>reductie</w:t>
            </w:r>
          </w:p>
        </w:tc>
        <w:tc>
          <w:tcPr>
            <w:tcW w:w="841" w:type="dxa"/>
            <w:shd w:val="clear" w:color="auto" w:fill="auto"/>
            <w:vAlign w:val="center"/>
          </w:tcPr>
          <w:p w14:paraId="15C970FD" w14:textId="18BC7A53" w:rsidR="009A0711" w:rsidRDefault="003258B8" w:rsidP="009A0711">
            <w:pPr>
              <w:jc w:val="center"/>
            </w:pPr>
            <w:r>
              <w:t>3</w:t>
            </w:r>
          </w:p>
        </w:tc>
        <w:tc>
          <w:tcPr>
            <w:tcW w:w="1374" w:type="dxa"/>
            <w:tcBorders>
              <w:right w:val="single" w:sz="12" w:space="0" w:color="auto"/>
            </w:tcBorders>
            <w:shd w:val="clear" w:color="auto" w:fill="auto"/>
            <w:vAlign w:val="center"/>
          </w:tcPr>
          <w:p w14:paraId="6C005E05" w14:textId="77777777" w:rsidR="009A0711" w:rsidRDefault="009A0711" w:rsidP="009A0711">
            <w:pPr>
              <w:jc w:val="center"/>
            </w:pPr>
            <w:r w:rsidRPr="00193994">
              <w:sym w:font="Wingdings" w:char="F0E8"/>
            </w:r>
          </w:p>
        </w:tc>
      </w:tr>
      <w:tr w:rsidR="009A0711" w14:paraId="4B2B8913" w14:textId="77777777" w:rsidTr="00D20A5C">
        <w:tc>
          <w:tcPr>
            <w:tcW w:w="5708" w:type="dxa"/>
            <w:tcBorders>
              <w:left w:val="single" w:sz="12" w:space="0" w:color="auto"/>
              <w:bottom w:val="single" w:sz="12" w:space="0" w:color="auto"/>
            </w:tcBorders>
            <w:shd w:val="clear" w:color="auto" w:fill="auto"/>
          </w:tcPr>
          <w:p w14:paraId="776AA38B" w14:textId="77777777" w:rsidR="009A0711" w:rsidRPr="00445FEE" w:rsidRDefault="009A0711" w:rsidP="009A0711">
            <w:r w:rsidRPr="00445FEE">
              <w:t xml:space="preserve">Corruptiebestrijding </w:t>
            </w:r>
          </w:p>
        </w:tc>
        <w:tc>
          <w:tcPr>
            <w:tcW w:w="841" w:type="dxa"/>
            <w:tcBorders>
              <w:bottom w:val="single" w:sz="12" w:space="0" w:color="auto"/>
            </w:tcBorders>
            <w:shd w:val="clear" w:color="auto" w:fill="auto"/>
            <w:vAlign w:val="center"/>
          </w:tcPr>
          <w:p w14:paraId="51111570" w14:textId="77777777" w:rsidR="009A0711" w:rsidRDefault="009A0711" w:rsidP="009A0711">
            <w:pPr>
              <w:jc w:val="center"/>
            </w:pPr>
            <w:r>
              <w:t>3</w:t>
            </w:r>
          </w:p>
        </w:tc>
        <w:tc>
          <w:tcPr>
            <w:tcW w:w="1374" w:type="dxa"/>
            <w:tcBorders>
              <w:bottom w:val="single" w:sz="12" w:space="0" w:color="auto"/>
              <w:right w:val="single" w:sz="12" w:space="0" w:color="auto"/>
            </w:tcBorders>
            <w:shd w:val="clear" w:color="auto" w:fill="auto"/>
            <w:vAlign w:val="center"/>
          </w:tcPr>
          <w:p w14:paraId="177052F7" w14:textId="77777777" w:rsidR="009A0711" w:rsidRDefault="009A0711" w:rsidP="009A0711">
            <w:pPr>
              <w:jc w:val="center"/>
            </w:pPr>
            <w:r w:rsidRPr="00193994">
              <w:sym w:font="Wingdings" w:char="F0E8"/>
            </w:r>
          </w:p>
        </w:tc>
      </w:tr>
    </w:tbl>
    <w:p w14:paraId="60367258" w14:textId="77777777" w:rsidR="009A0711" w:rsidRDefault="009A0711" w:rsidP="009A0711"/>
    <w:p w14:paraId="2CA0DEBF" w14:textId="77777777" w:rsidR="009A0711" w:rsidRPr="00193994" w:rsidRDefault="009A0711" w:rsidP="009A0711">
      <w:pPr>
        <w:ind w:firstLine="227"/>
      </w:pPr>
      <w:bookmarkStart w:id="21" w:name="_Toc410397641"/>
      <w:r w:rsidRPr="00193994">
        <w:t xml:space="preserve">Beoordeling: </w:t>
      </w:r>
      <w:r>
        <w:t>Onvoldoende = 1, Matig = 2, Voldoende = 3, Goed</w:t>
      </w:r>
      <w:r w:rsidRPr="00193994">
        <w:t xml:space="preserve"> = 4</w:t>
      </w:r>
    </w:p>
    <w:p w14:paraId="328E1E54" w14:textId="50232A15" w:rsidR="009A0711" w:rsidRDefault="009A0711" w:rsidP="009A0711">
      <w:pPr>
        <w:ind w:firstLine="227"/>
        <w:rPr>
          <w:rFonts w:ascii="Segoe UI Emoji" w:eastAsia="Segoe UI Emoji" w:hAnsi="Segoe UI Emoji" w:cs="Segoe UI Emoji"/>
          <w:b/>
          <w:noProof/>
        </w:rPr>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701237E0" w14:textId="77777777" w:rsidR="00687CFF" w:rsidRDefault="00687CFF" w:rsidP="009A0711">
      <w:pPr>
        <w:ind w:firstLine="227"/>
      </w:pPr>
    </w:p>
    <w:p w14:paraId="607CF03F" w14:textId="6774980E" w:rsidR="009A0711" w:rsidRDefault="009A0711" w:rsidP="009A0711">
      <w:pPr>
        <w:pStyle w:val="Heading2"/>
        <w:tabs>
          <w:tab w:val="left" w:pos="-1162"/>
          <w:tab w:val="left" w:pos="0"/>
          <w:tab w:val="num" w:pos="1160"/>
        </w:tabs>
        <w:spacing w:line="240" w:lineRule="auto"/>
        <w:ind w:hanging="1162"/>
        <w:rPr>
          <w:rFonts w:cs="Verdana"/>
          <w:szCs w:val="18"/>
          <w:lang w:eastAsia="ja-JP"/>
        </w:rPr>
      </w:pPr>
      <w:bookmarkStart w:id="22" w:name="_Toc491440344"/>
      <w:r>
        <w:t xml:space="preserve">1.2 </w:t>
      </w:r>
      <w:r>
        <w:tab/>
        <w:t>Beleidsrelevantie</w:t>
      </w:r>
      <w:bookmarkEnd w:id="21"/>
      <w:bookmarkEnd w:id="22"/>
    </w:p>
    <w:p w14:paraId="341986B7" w14:textId="5E07BF71" w:rsidR="009A0711" w:rsidRDefault="009A0711" w:rsidP="009A0711">
      <w:pPr>
        <w:autoSpaceDE w:val="0"/>
        <w:autoSpaceDN w:val="0"/>
        <w:adjustRightInd w:val="0"/>
        <w:spacing w:line="240" w:lineRule="auto"/>
        <w:rPr>
          <w:rFonts w:cs="Verdana"/>
          <w:szCs w:val="18"/>
          <w:lang w:eastAsia="ja-JP"/>
        </w:rPr>
      </w:pPr>
      <w:r>
        <w:rPr>
          <w:rFonts w:cs="Verdana"/>
          <w:szCs w:val="18"/>
          <w:lang w:eastAsia="ja-JP"/>
        </w:rPr>
        <w:t xml:space="preserve">De WTO is sinds oprichting in 1995 de hoeksteen van de internationale handel doordat de WTO een forum is voor het maken van nieuwe regels, een plek waar handelsbelemmeringen bespreekbaar worden gemaakt en als de plek waar geschillen over handelsregels beslecht worden.  Naast deze kernfuncties biedt de WTO in beperkte mate technische assistentie aan ontwikkelingslanden. Deze ondersteuning is gericht op de in WTO-kader overeengekomen regels en het WTO-systeem. De WTO draagt bij aan het creëren van een mondiaal gelijk speelveld voor internationale handel. Dit maakt de organisatie zeer relevant voor een handelsland als Nederland. Daarnaast sluit de technische assistentie die de WTO biedt goed aan bij de gecombineerde agenda voor hulp en handel. </w:t>
      </w:r>
    </w:p>
    <w:p w14:paraId="6A484836" w14:textId="1A238BB9" w:rsidR="00DF7E74" w:rsidRDefault="00DF7E74" w:rsidP="009A0711">
      <w:pPr>
        <w:autoSpaceDE w:val="0"/>
        <w:autoSpaceDN w:val="0"/>
        <w:adjustRightInd w:val="0"/>
        <w:spacing w:line="240" w:lineRule="auto"/>
        <w:rPr>
          <w:rFonts w:cs="Verdana"/>
          <w:szCs w:val="18"/>
          <w:lang w:eastAsia="ja-JP"/>
        </w:rPr>
      </w:pPr>
    </w:p>
    <w:p w14:paraId="60B40502" w14:textId="668B508E" w:rsidR="00DF7E74" w:rsidRDefault="00DF7E74" w:rsidP="009A0711">
      <w:pPr>
        <w:autoSpaceDE w:val="0"/>
        <w:autoSpaceDN w:val="0"/>
        <w:adjustRightInd w:val="0"/>
        <w:spacing w:line="240" w:lineRule="auto"/>
        <w:rPr>
          <w:rFonts w:cs="Verdana"/>
          <w:szCs w:val="18"/>
          <w:lang w:eastAsia="ja-JP"/>
        </w:rPr>
      </w:pPr>
    </w:p>
    <w:p w14:paraId="099E449C" w14:textId="6FF19EBC" w:rsidR="00DF7E74" w:rsidRDefault="00DF7E74" w:rsidP="009A0711">
      <w:pPr>
        <w:autoSpaceDE w:val="0"/>
        <w:autoSpaceDN w:val="0"/>
        <w:adjustRightInd w:val="0"/>
        <w:spacing w:line="240" w:lineRule="auto"/>
        <w:rPr>
          <w:rFonts w:cs="Verdana"/>
          <w:szCs w:val="18"/>
          <w:lang w:eastAsia="ja-JP"/>
        </w:rPr>
      </w:pPr>
    </w:p>
    <w:p w14:paraId="2363828B" w14:textId="48D49D7C" w:rsidR="00DF7E74" w:rsidRDefault="00DF7E74" w:rsidP="009A0711">
      <w:pPr>
        <w:autoSpaceDE w:val="0"/>
        <w:autoSpaceDN w:val="0"/>
        <w:adjustRightInd w:val="0"/>
        <w:spacing w:line="240" w:lineRule="auto"/>
        <w:rPr>
          <w:rFonts w:cs="Verdana"/>
          <w:szCs w:val="18"/>
          <w:lang w:eastAsia="ja-JP"/>
        </w:rPr>
      </w:pPr>
    </w:p>
    <w:p w14:paraId="1FAA835A" w14:textId="0FCE912C" w:rsidR="00DF7E74" w:rsidRDefault="00DF7E74" w:rsidP="009A0711">
      <w:pPr>
        <w:autoSpaceDE w:val="0"/>
        <w:autoSpaceDN w:val="0"/>
        <w:adjustRightInd w:val="0"/>
        <w:spacing w:line="240" w:lineRule="auto"/>
        <w:rPr>
          <w:rFonts w:cs="Verdana"/>
          <w:szCs w:val="18"/>
          <w:lang w:eastAsia="ja-JP"/>
        </w:rPr>
      </w:pPr>
    </w:p>
    <w:p w14:paraId="02A3F145" w14:textId="43E5C275" w:rsidR="00DF7E74" w:rsidRDefault="00DF7E74" w:rsidP="009A0711">
      <w:pPr>
        <w:autoSpaceDE w:val="0"/>
        <w:autoSpaceDN w:val="0"/>
        <w:adjustRightInd w:val="0"/>
        <w:spacing w:line="240" w:lineRule="auto"/>
        <w:rPr>
          <w:rFonts w:cs="Verdana"/>
          <w:szCs w:val="18"/>
          <w:lang w:eastAsia="ja-JP"/>
        </w:rPr>
      </w:pPr>
    </w:p>
    <w:p w14:paraId="6061E4F5" w14:textId="77777777" w:rsidR="00DF7E74" w:rsidRDefault="00DF7E74" w:rsidP="009A0711">
      <w:pPr>
        <w:autoSpaceDE w:val="0"/>
        <w:autoSpaceDN w:val="0"/>
        <w:adjustRightInd w:val="0"/>
        <w:spacing w:line="240" w:lineRule="auto"/>
        <w:rPr>
          <w:rFonts w:cs="Verdana"/>
          <w:szCs w:val="18"/>
          <w:lang w:eastAsia="ja-JP"/>
        </w:rPr>
      </w:pPr>
    </w:p>
    <w:p w14:paraId="53805397" w14:textId="184E7A6B" w:rsidR="009A0711" w:rsidRPr="00AC2B6D" w:rsidRDefault="009A0711" w:rsidP="00DF7E74">
      <w:pPr>
        <w:spacing w:line="240" w:lineRule="auto"/>
        <w:rPr>
          <w:rFonts w:cs="Verdana"/>
          <w:szCs w:val="18"/>
          <w:lang w:eastAsia="ja-JP"/>
        </w:rPr>
      </w:pPr>
    </w:p>
    <w:tbl>
      <w:tblPr>
        <w:tblW w:w="7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1"/>
        <w:gridCol w:w="1742"/>
        <w:gridCol w:w="9"/>
        <w:gridCol w:w="1836"/>
        <w:gridCol w:w="1721"/>
      </w:tblGrid>
      <w:tr w:rsidR="009A0711" w14:paraId="5DA13D1F" w14:textId="77777777" w:rsidTr="00D20A5C">
        <w:tc>
          <w:tcPr>
            <w:tcW w:w="2545"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C39696C" w14:textId="77777777" w:rsidR="009A0711" w:rsidRDefault="009A0711" w:rsidP="009A0711">
            <w:pPr>
              <w:jc w:val="right"/>
            </w:pPr>
          </w:p>
        </w:tc>
        <w:tc>
          <w:tcPr>
            <w:tcW w:w="1751"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18E11AD" w14:textId="77777777" w:rsidR="009A0711" w:rsidRPr="00D94DB4" w:rsidRDefault="009A0711" w:rsidP="009A0711">
            <w:pPr>
              <w:rPr>
                <w:b/>
              </w:rPr>
            </w:pPr>
            <w:r w:rsidRPr="00D94DB4">
              <w:rPr>
                <w:b/>
              </w:rPr>
              <w:t>Uitvoerend</w:t>
            </w:r>
          </w:p>
        </w:tc>
        <w:tc>
          <w:tcPr>
            <w:tcW w:w="183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248F197" w14:textId="77777777" w:rsidR="009A0711" w:rsidRPr="00D94DB4" w:rsidRDefault="009A0711" w:rsidP="009A0711">
            <w:pPr>
              <w:rPr>
                <w:b/>
              </w:rPr>
            </w:pPr>
            <w:r w:rsidRPr="00D94DB4">
              <w:rPr>
                <w:b/>
              </w:rPr>
              <w:t>Coördinerend</w:t>
            </w:r>
          </w:p>
        </w:tc>
        <w:tc>
          <w:tcPr>
            <w:tcW w:w="172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368FC3B" w14:textId="77777777" w:rsidR="009A0711" w:rsidRPr="00D94DB4" w:rsidRDefault="009A0711" w:rsidP="009A0711">
            <w:pPr>
              <w:rPr>
                <w:b/>
              </w:rPr>
            </w:pPr>
            <w:r w:rsidRPr="00D94DB4">
              <w:rPr>
                <w:b/>
              </w:rPr>
              <w:t>Normatief</w:t>
            </w:r>
          </w:p>
        </w:tc>
      </w:tr>
      <w:tr w:rsidR="008579E2" w14:paraId="4EE43A12" w14:textId="77777777" w:rsidTr="00D20A5C">
        <w:trPr>
          <w:trHeight w:val="188"/>
        </w:trPr>
        <w:tc>
          <w:tcPr>
            <w:tcW w:w="7853" w:type="dxa"/>
            <w:gridSpan w:val="6"/>
            <w:tcBorders>
              <w:left w:val="single" w:sz="12" w:space="0" w:color="auto"/>
              <w:right w:val="single" w:sz="12" w:space="0" w:color="auto"/>
            </w:tcBorders>
            <w:shd w:val="clear" w:color="auto" w:fill="BFBFBF" w:themeFill="background1" w:themeFillShade="BF"/>
          </w:tcPr>
          <w:p w14:paraId="60524314" w14:textId="64E56258" w:rsidR="008579E2" w:rsidRDefault="005B6D87" w:rsidP="009A0711">
            <w:pPr>
              <w:rPr>
                <w:b/>
              </w:rPr>
            </w:pPr>
            <w:r>
              <w:rPr>
                <w:b/>
              </w:rPr>
              <w:t>R</w:t>
            </w:r>
            <w:r w:rsidR="008579E2">
              <w:rPr>
                <w:b/>
              </w:rPr>
              <w:t>elevantie voor de Nederlandse BHOS-prioriteiten</w:t>
            </w:r>
          </w:p>
        </w:tc>
      </w:tr>
      <w:tr w:rsidR="008579E2" w14:paraId="1F5689A7" w14:textId="0CB74BD2" w:rsidTr="003F6AD3">
        <w:trPr>
          <w:trHeight w:val="403"/>
        </w:trPr>
        <w:tc>
          <w:tcPr>
            <w:tcW w:w="2534" w:type="dxa"/>
            <w:tcBorders>
              <w:top w:val="single" w:sz="12" w:space="0" w:color="auto"/>
              <w:left w:val="single" w:sz="12" w:space="0" w:color="auto"/>
              <w:bottom w:val="single" w:sz="12" w:space="0" w:color="auto"/>
            </w:tcBorders>
            <w:shd w:val="clear" w:color="auto" w:fill="auto"/>
          </w:tcPr>
          <w:p w14:paraId="3E60B6ED" w14:textId="39C31785" w:rsidR="008579E2" w:rsidRDefault="008579E2" w:rsidP="006C5267">
            <w:pPr>
              <w:rPr>
                <w:b/>
              </w:rPr>
            </w:pPr>
            <w:r>
              <w:t xml:space="preserve">Private </w:t>
            </w:r>
            <w:r w:rsidR="006C5267">
              <w:t>s</w:t>
            </w:r>
            <w:r>
              <w:t xml:space="preserve">ector </w:t>
            </w:r>
            <w:r w:rsidR="006C5267">
              <w:t>ontwikkeling</w:t>
            </w:r>
          </w:p>
        </w:tc>
        <w:tc>
          <w:tcPr>
            <w:tcW w:w="1762" w:type="dxa"/>
            <w:gridSpan w:val="3"/>
            <w:tcBorders>
              <w:top w:val="single" w:sz="12" w:space="0" w:color="auto"/>
              <w:bottom w:val="single" w:sz="12" w:space="0" w:color="auto"/>
            </w:tcBorders>
          </w:tcPr>
          <w:p w14:paraId="213BCE21" w14:textId="4C6E86D7" w:rsidR="008579E2" w:rsidRDefault="00147A07" w:rsidP="001C6E42">
            <w:pPr>
              <w:jc w:val="center"/>
            </w:pPr>
            <w:r>
              <w:t>4</w:t>
            </w:r>
          </w:p>
        </w:tc>
        <w:tc>
          <w:tcPr>
            <w:tcW w:w="1836" w:type="dxa"/>
            <w:tcBorders>
              <w:top w:val="single" w:sz="12" w:space="0" w:color="auto"/>
              <w:bottom w:val="single" w:sz="12" w:space="0" w:color="auto"/>
            </w:tcBorders>
          </w:tcPr>
          <w:p w14:paraId="5A7D3412" w14:textId="77777777" w:rsidR="008579E2" w:rsidRDefault="008579E2" w:rsidP="008579E2"/>
        </w:tc>
        <w:tc>
          <w:tcPr>
            <w:tcW w:w="1721" w:type="dxa"/>
            <w:tcBorders>
              <w:top w:val="single" w:sz="12" w:space="0" w:color="auto"/>
              <w:bottom w:val="single" w:sz="12" w:space="0" w:color="auto"/>
              <w:right w:val="single" w:sz="12" w:space="0" w:color="auto"/>
            </w:tcBorders>
          </w:tcPr>
          <w:p w14:paraId="6EE463CB" w14:textId="77777777" w:rsidR="008579E2" w:rsidRDefault="008579E2" w:rsidP="008579E2"/>
        </w:tc>
      </w:tr>
      <w:tr w:rsidR="008579E2" w14:paraId="644B7D8F" w14:textId="77777777" w:rsidTr="00D20A5C">
        <w:trPr>
          <w:trHeight w:val="114"/>
        </w:trPr>
        <w:tc>
          <w:tcPr>
            <w:tcW w:w="7853" w:type="dxa"/>
            <w:gridSpan w:val="6"/>
            <w:tcBorders>
              <w:left w:val="single" w:sz="12" w:space="0" w:color="auto"/>
              <w:bottom w:val="single" w:sz="12" w:space="0" w:color="auto"/>
              <w:right w:val="single" w:sz="12" w:space="0" w:color="auto"/>
            </w:tcBorders>
            <w:shd w:val="clear" w:color="auto" w:fill="BFBFBF" w:themeFill="background1" w:themeFillShade="BF"/>
          </w:tcPr>
          <w:p w14:paraId="1C57830E" w14:textId="234FDB01" w:rsidR="008579E2" w:rsidRDefault="008579E2" w:rsidP="008579E2">
            <w:r>
              <w:rPr>
                <w:b/>
              </w:rPr>
              <w:t>Overige relevantie</w:t>
            </w:r>
          </w:p>
        </w:tc>
      </w:tr>
      <w:tr w:rsidR="008579E2" w14:paraId="568F9C3F" w14:textId="77777777" w:rsidTr="003F6AD3">
        <w:tc>
          <w:tcPr>
            <w:tcW w:w="2534" w:type="dxa"/>
            <w:tcBorders>
              <w:top w:val="single" w:sz="12" w:space="0" w:color="auto"/>
              <w:left w:val="single" w:sz="12" w:space="0" w:color="auto"/>
              <w:bottom w:val="single" w:sz="12" w:space="0" w:color="auto"/>
            </w:tcBorders>
            <w:shd w:val="clear" w:color="auto" w:fill="auto"/>
          </w:tcPr>
          <w:p w14:paraId="070AF6A6" w14:textId="032D4776" w:rsidR="006C5267" w:rsidRDefault="008579E2" w:rsidP="008579E2">
            <w:r>
              <w:t>Handelsbeleid</w:t>
            </w:r>
          </w:p>
        </w:tc>
        <w:tc>
          <w:tcPr>
            <w:tcW w:w="1753" w:type="dxa"/>
            <w:gridSpan w:val="2"/>
            <w:tcBorders>
              <w:top w:val="single" w:sz="12" w:space="0" w:color="auto"/>
              <w:bottom w:val="single" w:sz="12" w:space="0" w:color="auto"/>
            </w:tcBorders>
            <w:shd w:val="clear" w:color="auto" w:fill="auto"/>
          </w:tcPr>
          <w:p w14:paraId="4AA50077" w14:textId="77777777" w:rsidR="008579E2" w:rsidRDefault="008579E2" w:rsidP="008579E2"/>
        </w:tc>
        <w:tc>
          <w:tcPr>
            <w:tcW w:w="1845" w:type="dxa"/>
            <w:gridSpan w:val="2"/>
            <w:tcBorders>
              <w:top w:val="single" w:sz="12" w:space="0" w:color="auto"/>
              <w:bottom w:val="single" w:sz="12" w:space="0" w:color="auto"/>
            </w:tcBorders>
            <w:shd w:val="clear" w:color="auto" w:fill="auto"/>
          </w:tcPr>
          <w:p w14:paraId="370FBDFB" w14:textId="77777777" w:rsidR="008579E2" w:rsidRDefault="008579E2" w:rsidP="001C6E42">
            <w:pPr>
              <w:jc w:val="center"/>
            </w:pPr>
            <w:r>
              <w:t>3</w:t>
            </w:r>
          </w:p>
        </w:tc>
        <w:tc>
          <w:tcPr>
            <w:tcW w:w="1721" w:type="dxa"/>
            <w:tcBorders>
              <w:top w:val="single" w:sz="12" w:space="0" w:color="auto"/>
              <w:bottom w:val="single" w:sz="12" w:space="0" w:color="auto"/>
              <w:right w:val="single" w:sz="12" w:space="0" w:color="auto"/>
            </w:tcBorders>
            <w:shd w:val="clear" w:color="auto" w:fill="auto"/>
          </w:tcPr>
          <w:p w14:paraId="71F81D79" w14:textId="77777777" w:rsidR="008579E2" w:rsidRDefault="008579E2" w:rsidP="001C6E42">
            <w:pPr>
              <w:jc w:val="center"/>
            </w:pPr>
            <w:r>
              <w:t>4</w:t>
            </w:r>
          </w:p>
        </w:tc>
      </w:tr>
    </w:tbl>
    <w:p w14:paraId="66C7C3E0" w14:textId="77777777" w:rsidR="009A0711" w:rsidRDefault="009A0711" w:rsidP="009A0711"/>
    <w:p w14:paraId="62C76CE3" w14:textId="77777777" w:rsidR="009A0711" w:rsidRPr="00DF4CDB" w:rsidRDefault="009A0711" w:rsidP="009A0711">
      <w:pPr>
        <w:ind w:left="227"/>
      </w:pPr>
      <w:r>
        <w:tab/>
        <w:t>Beoordeling: Onvoldoende = 1, Matig = 2, Voldoende = 3, Goed = 4</w:t>
      </w:r>
    </w:p>
    <w:p w14:paraId="18B2601D" w14:textId="49092307" w:rsidR="009A0711" w:rsidRDefault="009A0711" w:rsidP="009A0711"/>
    <w:p w14:paraId="0E1DF60E" w14:textId="77777777" w:rsidR="009A0711" w:rsidRDefault="009A0711" w:rsidP="009A0711"/>
    <w:p w14:paraId="2E752F6F" w14:textId="77777777" w:rsidR="009A0711" w:rsidRDefault="009A0711" w:rsidP="009A0711"/>
    <w:p w14:paraId="60A97F94" w14:textId="77777777" w:rsidR="009A0711" w:rsidRDefault="009A0711" w:rsidP="009A0711"/>
    <w:p w14:paraId="61902AD4" w14:textId="77777777" w:rsidR="009A0711" w:rsidRDefault="009A0711" w:rsidP="009A0711"/>
    <w:p w14:paraId="72C7ED97" w14:textId="77777777" w:rsidR="009A0711" w:rsidRDefault="009A0711" w:rsidP="009A0711"/>
    <w:p w14:paraId="7AF2AD3E" w14:textId="77777777" w:rsidR="009A0711" w:rsidRDefault="009A0711" w:rsidP="009A0711"/>
    <w:p w14:paraId="4AED193C" w14:textId="77777777" w:rsidR="009A0711" w:rsidRDefault="009A0711" w:rsidP="009A0711"/>
    <w:p w14:paraId="04EDFA6D" w14:textId="77777777" w:rsidR="009A0711" w:rsidRDefault="009A0711" w:rsidP="009A0711"/>
    <w:p w14:paraId="38ACE317" w14:textId="77777777" w:rsidR="009A0711" w:rsidRDefault="009A0711" w:rsidP="009A0711"/>
    <w:p w14:paraId="5B90CBBC" w14:textId="77777777" w:rsidR="009A0711" w:rsidRPr="00D745A7" w:rsidRDefault="009A0711" w:rsidP="009A0711"/>
    <w:p w14:paraId="3325B1E7" w14:textId="0A7AD9D9" w:rsidR="00B95FC2" w:rsidRPr="00734374" w:rsidRDefault="009A0711" w:rsidP="009A0711">
      <w:pPr>
        <w:pStyle w:val="Heading1"/>
        <w:tabs>
          <w:tab w:val="num" w:pos="0"/>
        </w:tabs>
        <w:spacing w:after="240" w:line="240" w:lineRule="auto"/>
        <w:ind w:hanging="1162"/>
      </w:pPr>
      <w:r w:rsidRPr="00734374">
        <w:lastRenderedPageBreak/>
        <w:t xml:space="preserve"> </w:t>
      </w:r>
      <w:bookmarkStart w:id="23" w:name="_Toc491440345"/>
      <w:r>
        <w:t>2</w:t>
      </w:r>
      <w:r w:rsidR="00734374" w:rsidRPr="00734374">
        <w:t xml:space="preserve"> </w:t>
      </w:r>
      <w:r w:rsidR="00734374">
        <w:tab/>
      </w:r>
      <w:r w:rsidR="00AD0CCB" w:rsidRPr="00734374">
        <w:t>Inleiding</w:t>
      </w:r>
      <w:bookmarkEnd w:id="17"/>
      <w:bookmarkEnd w:id="23"/>
    </w:p>
    <w:p w14:paraId="06D4B6A6" w14:textId="47B83ABE"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3F0D7A">
        <w:rPr>
          <w:szCs w:val="18"/>
          <w:lang w:eastAsia="zh-CN"/>
        </w:rPr>
        <w:t xml:space="preserve"> (IFI’s)</w:t>
      </w:r>
      <w:r w:rsidR="003B4CB4">
        <w:rPr>
          <w:szCs w:val="18"/>
          <w:lang w:eastAsia="zh-CN"/>
        </w:rPr>
        <w:t xml:space="preserve">, </w:t>
      </w:r>
      <w:r w:rsidR="00223E42">
        <w:rPr>
          <w:szCs w:val="18"/>
          <w:lang w:eastAsia="zh-CN"/>
        </w:rPr>
        <w:t xml:space="preserve">de voor Nederlands </w:t>
      </w:r>
      <w:r w:rsidR="003F0D7A">
        <w:rPr>
          <w:szCs w:val="18"/>
          <w:lang w:eastAsia="zh-CN"/>
        </w:rPr>
        <w:t>beleid voor Buitenlandse Handel en Ontwikkelingssamenwerking (</w:t>
      </w:r>
      <w:r w:rsidR="00223E42">
        <w:rPr>
          <w:szCs w:val="18"/>
          <w:lang w:eastAsia="zh-CN"/>
        </w:rPr>
        <w:t>BHOS</w:t>
      </w:r>
      <w:r w:rsidR="003F0D7A">
        <w:rPr>
          <w:szCs w:val="18"/>
          <w:lang w:eastAsia="zh-CN"/>
        </w:rPr>
        <w:t>)</w:t>
      </w:r>
      <w:r w:rsidR="00223E42">
        <w:rPr>
          <w:szCs w:val="18"/>
          <w:lang w:eastAsia="zh-CN"/>
        </w:rPr>
        <w:t xml:space="preserve"> 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3F0D7A">
        <w:rPr>
          <w:szCs w:val="18"/>
          <w:lang w:eastAsia="zh-CN"/>
        </w:rPr>
        <w:t>BHOS</w:t>
      </w:r>
      <w:r w:rsidR="00CF0A55">
        <w:rPr>
          <w:szCs w:val="18"/>
          <w:lang w:eastAsia="zh-CN"/>
        </w:rPr>
        <w:t>,</w:t>
      </w:r>
      <w:r w:rsidR="005D3322">
        <w:rPr>
          <w:szCs w:val="18"/>
          <w:lang w:eastAsia="zh-CN"/>
        </w:rPr>
        <w:t xml:space="preserve"> </w:t>
      </w:r>
      <w:r w:rsidR="003F0D7A">
        <w:rPr>
          <w:szCs w:val="18"/>
          <w:lang w:eastAsia="zh-CN"/>
        </w:rPr>
        <w:t xml:space="preserve">en </w:t>
      </w:r>
      <w:r w:rsidR="005D3322">
        <w:rPr>
          <w:szCs w:val="18"/>
          <w:lang w:eastAsia="zh-CN"/>
        </w:rPr>
        <w:t xml:space="preserve">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06E632E7"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1E3D7550" w14:textId="3A9F95AF" w:rsidR="00150BEE"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sidR="00CB0EFF">
        <w:rPr>
          <w:rStyle w:val="FootnoteReference"/>
          <w:szCs w:val="18"/>
          <w:lang w:eastAsia="zh-CN"/>
        </w:rPr>
        <w:footnoteReference w:id="2"/>
      </w:r>
      <w:r w:rsidR="00CB0EFF">
        <w:rPr>
          <w:szCs w:val="18"/>
          <w:lang w:eastAsia="zh-CN"/>
        </w:rPr>
        <w:t xml:space="preserve"> </w:t>
      </w:r>
      <w:r w:rsidR="00150BEE" w:rsidRPr="00307981">
        <w:rPr>
          <w:szCs w:val="18"/>
          <w:lang w:eastAsia="zh-CN"/>
        </w:rPr>
        <w:t>Daarnaast wordt om de input gevraagd van betrokken vakdepartementen, de Permanente Vertegenwoordigingen</w:t>
      </w:r>
      <w:r w:rsidR="00150BEE">
        <w:rPr>
          <w:szCs w:val="18"/>
          <w:lang w:eastAsia="zh-CN"/>
        </w:rPr>
        <w:t xml:space="preserve"> en</w:t>
      </w:r>
      <w:r w:rsidR="00150BEE" w:rsidRPr="00307981">
        <w:rPr>
          <w:szCs w:val="18"/>
          <w:lang w:eastAsia="zh-CN"/>
        </w:rPr>
        <w:t xml:space="preserve"> Kiesgroepkantoren. Ook </w:t>
      </w:r>
      <w:r w:rsidR="00150BEE">
        <w:rPr>
          <w:szCs w:val="18"/>
          <w:lang w:eastAsia="zh-CN"/>
        </w:rPr>
        <w:t xml:space="preserve">informatie van ambassades </w:t>
      </w:r>
      <w:r w:rsidR="00150BEE" w:rsidRPr="00307981">
        <w:rPr>
          <w:szCs w:val="18"/>
          <w:lang w:eastAsia="zh-CN"/>
        </w:rPr>
        <w:t xml:space="preserve">over het functioneren van landenkantoren </w:t>
      </w:r>
      <w:r w:rsidR="00150BEE">
        <w:rPr>
          <w:szCs w:val="18"/>
          <w:lang w:eastAsia="zh-CN"/>
        </w:rPr>
        <w:t>van multilaterale instellingen zijn</w:t>
      </w:r>
      <w:r w:rsidR="00150BEE" w:rsidRPr="00307981">
        <w:rPr>
          <w:szCs w:val="18"/>
          <w:lang w:eastAsia="zh-CN"/>
        </w:rPr>
        <w:t xml:space="preserve"> in de scorecard </w:t>
      </w:r>
      <w:r w:rsidR="00150BEE">
        <w:rPr>
          <w:szCs w:val="18"/>
          <w:lang w:eastAsia="zh-CN"/>
        </w:rPr>
        <w:t>verwerkt.</w:t>
      </w:r>
      <w:r w:rsidR="00150BEE" w:rsidRPr="00307981">
        <w:rPr>
          <w:szCs w:val="18"/>
          <w:lang w:eastAsia="zh-CN"/>
        </w:rPr>
        <w:t xml:space="preserve"> </w:t>
      </w:r>
      <w:r w:rsidR="00150BEE">
        <w:rPr>
          <w:szCs w:val="18"/>
          <w:lang w:eastAsia="zh-CN"/>
        </w:rPr>
        <w:t>De s</w:t>
      </w:r>
      <w:r w:rsidR="00150BEE" w:rsidRPr="00307981">
        <w:rPr>
          <w:szCs w:val="18"/>
          <w:lang w:eastAsia="zh-CN"/>
        </w:rPr>
        <w:t xml:space="preserve">corecards </w:t>
      </w:r>
      <w:r w:rsidR="00150BEE">
        <w:rPr>
          <w:szCs w:val="18"/>
          <w:lang w:eastAsia="zh-CN"/>
        </w:rPr>
        <w:t xml:space="preserve">worden iedere twee jaar </w:t>
      </w:r>
      <w:r w:rsidR="00150BEE" w:rsidRPr="00307981">
        <w:rPr>
          <w:szCs w:val="18"/>
          <w:lang w:eastAsia="zh-CN"/>
        </w:rPr>
        <w:t>geactualiseerd</w:t>
      </w:r>
      <w:r w:rsidR="00150BEE">
        <w:rPr>
          <w:szCs w:val="18"/>
          <w:lang w:eastAsia="zh-CN"/>
        </w:rPr>
        <w:t>.</w:t>
      </w:r>
      <w:r w:rsidR="00150BEE" w:rsidRPr="00307981">
        <w:rPr>
          <w:szCs w:val="18"/>
          <w:lang w:eastAsia="zh-CN"/>
        </w:rPr>
        <w:t xml:space="preserve"> </w:t>
      </w:r>
    </w:p>
    <w:p w14:paraId="44AFC8AC" w14:textId="77777777" w:rsidR="00150BEE" w:rsidRPr="00307981" w:rsidRDefault="00150BEE" w:rsidP="00307981"/>
    <w:p w14:paraId="794A79FF" w14:textId="7925ED65" w:rsidR="00150BEE" w:rsidRDefault="009A0711" w:rsidP="00F24A31">
      <w:pPr>
        <w:pStyle w:val="Heading1"/>
        <w:tabs>
          <w:tab w:val="num" w:pos="0"/>
        </w:tabs>
        <w:spacing w:after="240" w:line="240" w:lineRule="auto"/>
        <w:ind w:hanging="1162"/>
      </w:pPr>
      <w:bookmarkStart w:id="24" w:name="_Toc491440346"/>
      <w:r>
        <w:lastRenderedPageBreak/>
        <w:t>3</w:t>
      </w:r>
      <w:r w:rsidR="00150BEE">
        <w:t xml:space="preserve"> </w:t>
      </w:r>
      <w:r w:rsidR="00150BEE">
        <w:tab/>
        <w:t>Algemene achtergrond</w:t>
      </w:r>
      <w:bookmarkEnd w:id="24"/>
    </w:p>
    <w:p w14:paraId="57705E90" w14:textId="77777777" w:rsidR="009A0711" w:rsidRPr="009A0711" w:rsidRDefault="009A0711" w:rsidP="009A0711">
      <w:pPr>
        <w:pStyle w:val="ListParagraph"/>
        <w:keepNext/>
        <w:widowControl w:val="0"/>
        <w:numPr>
          <w:ilvl w:val="0"/>
          <w:numId w:val="10"/>
        </w:numPr>
        <w:tabs>
          <w:tab w:val="left" w:pos="-1162"/>
          <w:tab w:val="left" w:pos="0"/>
        </w:tabs>
        <w:spacing w:before="200" w:line="240" w:lineRule="auto"/>
        <w:outlineLvl w:val="1"/>
        <w:rPr>
          <w:rFonts w:cs="Arial"/>
          <w:b/>
          <w:iCs/>
          <w:vanish/>
          <w:kern w:val="32"/>
          <w:szCs w:val="28"/>
        </w:rPr>
      </w:pPr>
    </w:p>
    <w:p w14:paraId="55B5BDBB" w14:textId="77777777" w:rsidR="009A0711" w:rsidRPr="009A0711" w:rsidRDefault="009A0711" w:rsidP="009A0711">
      <w:pPr>
        <w:pStyle w:val="ListParagraph"/>
        <w:keepNext/>
        <w:widowControl w:val="0"/>
        <w:numPr>
          <w:ilvl w:val="0"/>
          <w:numId w:val="10"/>
        </w:numPr>
        <w:tabs>
          <w:tab w:val="left" w:pos="-1162"/>
          <w:tab w:val="left" w:pos="0"/>
        </w:tabs>
        <w:spacing w:before="200" w:line="240" w:lineRule="auto"/>
        <w:outlineLvl w:val="1"/>
        <w:rPr>
          <w:rFonts w:cs="Arial"/>
          <w:b/>
          <w:iCs/>
          <w:vanish/>
          <w:kern w:val="32"/>
          <w:szCs w:val="28"/>
        </w:rPr>
      </w:pPr>
    </w:p>
    <w:p w14:paraId="3F4BD418" w14:textId="49D9D53E" w:rsidR="00150BEE" w:rsidRDefault="009A0711" w:rsidP="009A0711">
      <w:pPr>
        <w:pStyle w:val="Heading2"/>
        <w:numPr>
          <w:ilvl w:val="1"/>
          <w:numId w:val="10"/>
        </w:numPr>
        <w:tabs>
          <w:tab w:val="left" w:pos="-1162"/>
          <w:tab w:val="left" w:pos="0"/>
        </w:tabs>
        <w:spacing w:line="240" w:lineRule="auto"/>
      </w:pPr>
      <w:r>
        <w:t xml:space="preserve">             </w:t>
      </w:r>
      <w:bookmarkStart w:id="25" w:name="_Toc491440347"/>
      <w:r w:rsidR="00150BEE">
        <w:t>Doelstelling en toegevoegde waarde</w:t>
      </w:r>
      <w:bookmarkEnd w:id="25"/>
    </w:p>
    <w:p w14:paraId="466BC48B" w14:textId="62E53C96" w:rsidR="00150BEE" w:rsidRPr="00D6369F" w:rsidRDefault="00150BEE" w:rsidP="00D6369F">
      <w:pPr>
        <w:autoSpaceDE w:val="0"/>
        <w:autoSpaceDN w:val="0"/>
        <w:adjustRightInd w:val="0"/>
        <w:spacing w:line="240" w:lineRule="auto"/>
        <w:rPr>
          <w:rFonts w:ascii="AkzidenzGroteskBE-Regular" w:hAnsi="AkzidenzGroteskBE-Regular" w:cs="AkzidenzGroteskBE-Regular"/>
          <w:color w:val="E4472A"/>
          <w:szCs w:val="18"/>
          <w:lang w:eastAsia="ja-JP"/>
        </w:rPr>
      </w:pPr>
      <w:r w:rsidRPr="004C5B7D">
        <w:rPr>
          <w:rFonts w:eastAsia="Verdana" w:cs="Verdana"/>
          <w:szCs w:val="18"/>
        </w:rPr>
        <w:t xml:space="preserve">De Wereldhandelsorganisatie (WTO) is een systeemorganisatie, die in 1995 is opgericht. De organisatie is voortgekomen uit </w:t>
      </w:r>
      <w:r>
        <w:rPr>
          <w:rFonts w:eastAsia="Verdana" w:cs="Verdana"/>
          <w:szCs w:val="18"/>
        </w:rPr>
        <w:t>het</w:t>
      </w:r>
      <w:r w:rsidRPr="004C5B7D">
        <w:rPr>
          <w:rFonts w:eastAsia="Verdana" w:cs="Verdana"/>
          <w:szCs w:val="18"/>
        </w:rPr>
        <w:t xml:space="preserve"> </w:t>
      </w:r>
      <w:r w:rsidRPr="00C63FED">
        <w:rPr>
          <w:rFonts w:eastAsia="Verdana" w:cs="Verdana"/>
          <w:i/>
          <w:szCs w:val="18"/>
        </w:rPr>
        <w:t>General Agreement of Tariffs and Trade</w:t>
      </w:r>
      <w:r w:rsidRPr="004C5B7D">
        <w:rPr>
          <w:rFonts w:eastAsia="Verdana" w:cs="Verdana"/>
          <w:szCs w:val="18"/>
        </w:rPr>
        <w:t xml:space="preserve"> (GATT). De WTO zorgt, zoals vastgelegd in het </w:t>
      </w:r>
      <w:r w:rsidRPr="00B13840">
        <w:rPr>
          <w:rFonts w:eastAsia="Verdana" w:cs="Verdana"/>
          <w:i/>
          <w:szCs w:val="18"/>
        </w:rPr>
        <w:t>Agreement Establishing the World Trade Organisation</w:t>
      </w:r>
      <w:r w:rsidRPr="004C5B7D">
        <w:rPr>
          <w:rFonts w:eastAsia="Verdana" w:cs="Verdana"/>
          <w:szCs w:val="18"/>
        </w:rPr>
        <w:t>, voor het vrijmaken van handel</w:t>
      </w:r>
      <w:r>
        <w:rPr>
          <w:rFonts w:eastAsia="Verdana" w:cs="Verdana"/>
          <w:szCs w:val="18"/>
        </w:rPr>
        <w:t xml:space="preserve">. Dit gebeurt </w:t>
      </w:r>
      <w:r w:rsidRPr="004C5B7D">
        <w:rPr>
          <w:rFonts w:eastAsia="Verdana" w:cs="Verdana"/>
          <w:szCs w:val="18"/>
        </w:rPr>
        <w:t xml:space="preserve">door: 1) multilaterale onderhandelingen </w:t>
      </w:r>
      <w:r>
        <w:rPr>
          <w:rFonts w:eastAsia="Verdana" w:cs="Verdana"/>
          <w:szCs w:val="18"/>
        </w:rPr>
        <w:t xml:space="preserve">en </w:t>
      </w:r>
      <w:r w:rsidRPr="004C5B7D">
        <w:rPr>
          <w:rFonts w:eastAsia="Verdana" w:cs="Verdana"/>
          <w:szCs w:val="18"/>
        </w:rPr>
        <w:t xml:space="preserve">het sluiten van akkoorden te faciliteren </w:t>
      </w:r>
      <w:r>
        <w:rPr>
          <w:rFonts w:eastAsia="Verdana" w:cs="Verdana"/>
          <w:szCs w:val="18"/>
        </w:rPr>
        <w:t xml:space="preserve">en zo </w:t>
      </w:r>
      <w:r w:rsidRPr="004C5B7D">
        <w:rPr>
          <w:rFonts w:eastAsia="Verdana" w:cs="Verdana"/>
          <w:szCs w:val="18"/>
        </w:rPr>
        <w:t>handelsbelemmeringen weg</w:t>
      </w:r>
      <w:r>
        <w:rPr>
          <w:rFonts w:eastAsia="Verdana" w:cs="Verdana"/>
          <w:szCs w:val="18"/>
        </w:rPr>
        <w:t xml:space="preserve"> te </w:t>
      </w:r>
      <w:r w:rsidRPr="004C5B7D">
        <w:rPr>
          <w:rFonts w:eastAsia="Verdana" w:cs="Verdana"/>
          <w:szCs w:val="18"/>
        </w:rPr>
        <w:t>nemen</w:t>
      </w:r>
      <w:r>
        <w:rPr>
          <w:rFonts w:eastAsia="Verdana" w:cs="Verdana"/>
          <w:szCs w:val="18"/>
        </w:rPr>
        <w:t xml:space="preserve">, </w:t>
      </w:r>
      <w:r w:rsidRPr="004C5B7D">
        <w:rPr>
          <w:rFonts w:eastAsia="Verdana" w:cs="Verdana"/>
          <w:szCs w:val="18"/>
        </w:rPr>
        <w:t>2) toe te zien op de implementatie en naleving van multilaterale handelsakkoorden</w:t>
      </w:r>
      <w:r>
        <w:rPr>
          <w:rFonts w:eastAsia="Verdana" w:cs="Verdana"/>
          <w:szCs w:val="18"/>
        </w:rPr>
        <w:t xml:space="preserve"> en</w:t>
      </w:r>
      <w:r w:rsidRPr="004C5B7D">
        <w:rPr>
          <w:rFonts w:eastAsia="Verdana" w:cs="Verdana"/>
          <w:szCs w:val="18"/>
        </w:rPr>
        <w:t xml:space="preserve"> 3) geschillen te beslechten die voortkomen uit de verschillen in interpretatie en toepassing van de akkoorden. Hiervoor biedt de WTO ook technische assistentie. De WTO is de enige multilaterale organisatie die (in tegenstelling tot bijvoorbeeld het International Trade Centre en de UNCTAD) bindende regels kan overeenkomen op het gebied van hande</w:t>
      </w:r>
      <w:r>
        <w:rPr>
          <w:rFonts w:eastAsia="Verdana" w:cs="Verdana"/>
          <w:szCs w:val="18"/>
        </w:rPr>
        <w:t>l.</w:t>
      </w:r>
      <w:r>
        <w:t xml:space="preserve"> De WTO is een door het leden</w:t>
      </w:r>
      <w:r w:rsidRPr="00D6369F">
        <w:t xml:space="preserve"> gedreven organisatie die ondersteund wordt door een secretariaat. De rol van het secretariaat is </w:t>
      </w:r>
      <w:r w:rsidRPr="00D6369F">
        <w:rPr>
          <w:rFonts w:cs="AkzidenzGroteskBE-Regular"/>
          <w:szCs w:val="18"/>
          <w:lang w:eastAsia="ja-JP"/>
        </w:rPr>
        <w:t>het op technisch gebied ondersteunen van de WTO-r</w:t>
      </w:r>
      <w:r>
        <w:rPr>
          <w:rFonts w:cs="AkzidenzGroteskBE-Regular"/>
          <w:szCs w:val="18"/>
          <w:lang w:eastAsia="ja-JP"/>
        </w:rPr>
        <w:t>a</w:t>
      </w:r>
      <w:r w:rsidRPr="00D6369F">
        <w:rPr>
          <w:rFonts w:cs="AkzidenzGroteskBE-Regular"/>
          <w:szCs w:val="18"/>
          <w:lang w:eastAsia="ja-JP"/>
        </w:rPr>
        <w:t>den en comités. Daar</w:t>
      </w:r>
      <w:r>
        <w:rPr>
          <w:rFonts w:cs="AkzidenzGroteskBE-Regular"/>
          <w:szCs w:val="18"/>
          <w:lang w:eastAsia="ja-JP"/>
        </w:rPr>
        <w:t>naast</w:t>
      </w:r>
      <w:r w:rsidRPr="00D6369F">
        <w:rPr>
          <w:rFonts w:cs="AkzidenzGroteskBE-Regular"/>
          <w:szCs w:val="18"/>
          <w:lang w:eastAsia="ja-JP"/>
        </w:rPr>
        <w:t xml:space="preserve"> organiseert het secretariaat technische assistentie ten aanzien van de WTO-regels voor ontwikkelingslanden. </w:t>
      </w:r>
      <w:r w:rsidRPr="00D6369F">
        <w:t>Ten aanzien van de SDG's ziet de WTO een faciliterende rol voor zichzelf</w:t>
      </w:r>
      <w:r>
        <w:t xml:space="preserve">, met name voor SDG 8 (fatsoenlijke banen en economische groei) en 17 (partnerschappen voor de doelen). </w:t>
      </w:r>
      <w:r w:rsidRPr="00D6369F">
        <w:t xml:space="preserve">De integratie van ontwikkelingslanden in regionale en mondiale markten is een centraal thema in de SDG's en de WTO draagt eraan bij dat handel de rol kan spelen in het </w:t>
      </w:r>
      <w:r>
        <w:t xml:space="preserve">stimuleren van groei, uitbannen van armoede en het bevorderen van duurzame ontwikkeling. </w:t>
      </w:r>
      <w:r w:rsidR="00687CFF">
        <w:br/>
      </w:r>
    </w:p>
    <w:p w14:paraId="6A5606BF" w14:textId="185B96EF" w:rsidR="00150BEE" w:rsidRDefault="009A0711" w:rsidP="00AF6A3F">
      <w:pPr>
        <w:pStyle w:val="Heading2"/>
        <w:numPr>
          <w:ilvl w:val="1"/>
          <w:numId w:val="10"/>
        </w:numPr>
        <w:tabs>
          <w:tab w:val="left" w:pos="-1162"/>
          <w:tab w:val="left" w:pos="0"/>
        </w:tabs>
        <w:spacing w:line="240" w:lineRule="auto"/>
      </w:pPr>
      <w:r>
        <w:t xml:space="preserve">             </w:t>
      </w:r>
      <w:bookmarkStart w:id="26" w:name="_Toc491440348"/>
      <w:r w:rsidR="00150BEE">
        <w:t>Organisatie, werkwijze en activiteiten</w:t>
      </w:r>
      <w:bookmarkEnd w:id="26"/>
    </w:p>
    <w:p w14:paraId="15F1391E" w14:textId="630B7733" w:rsidR="00150BEE" w:rsidRDefault="00150BEE" w:rsidP="009A0711">
      <w:pPr>
        <w:spacing w:after="100" w:afterAutospacing="1" w:line="240" w:lineRule="auto"/>
        <w:rPr>
          <w:szCs w:val="18"/>
        </w:rPr>
      </w:pPr>
      <w:r>
        <w:rPr>
          <w:szCs w:val="18"/>
        </w:rPr>
        <w:t xml:space="preserve">De WTO bestaat uit de leden en het secretariaat die in verschillende samenstellingen bijeenkomen. WTO-leden kunnen staten of </w:t>
      </w:r>
      <w:r w:rsidR="00C63FED">
        <w:rPr>
          <w:szCs w:val="18"/>
        </w:rPr>
        <w:t>douanegebieden</w:t>
      </w:r>
      <w:r>
        <w:rPr>
          <w:szCs w:val="18"/>
        </w:rPr>
        <w:t xml:space="preserve"> zijn. Op het moment van schrijven heeft de WTO 164 leden. De EU-lidstaten zijn individueel lid, net als de Europese Commissie, die binnen de WTO namens de lidstaten het woord voert. De </w:t>
      </w:r>
      <w:r w:rsidR="003F6AD3">
        <w:rPr>
          <w:szCs w:val="18"/>
        </w:rPr>
        <w:t>Directeur-G</w:t>
      </w:r>
      <w:r>
        <w:rPr>
          <w:szCs w:val="18"/>
        </w:rPr>
        <w:t>eneraal (DG), op dit moment de Braziliaan Roberto Azevêdo, staat aan het hoofd van het secretariaat (herbenoemd tot 2021). Het secretariaat telt 666</w:t>
      </w:r>
      <w:r w:rsidRPr="0022492C">
        <w:rPr>
          <w:szCs w:val="18"/>
        </w:rPr>
        <w:t xml:space="preserve"> pers</w:t>
      </w:r>
      <w:r>
        <w:rPr>
          <w:szCs w:val="18"/>
        </w:rPr>
        <w:t>onen en is in Genè</w:t>
      </w:r>
      <w:r w:rsidRPr="0022492C">
        <w:rPr>
          <w:szCs w:val="18"/>
        </w:rPr>
        <w:t>ve gevestigd. De WT</w:t>
      </w:r>
      <w:r>
        <w:rPr>
          <w:szCs w:val="18"/>
        </w:rPr>
        <w:t xml:space="preserve">O kent geen regiovestigingen. Alle besluitvorming in de WTO </w:t>
      </w:r>
      <w:r w:rsidRPr="0022492C">
        <w:rPr>
          <w:szCs w:val="18"/>
        </w:rPr>
        <w:t xml:space="preserve">gebeurt op basis van consensus. </w:t>
      </w:r>
    </w:p>
    <w:p w14:paraId="23E6E54A" w14:textId="77777777" w:rsidR="00150BEE" w:rsidRDefault="00150BEE" w:rsidP="0022492C">
      <w:pPr>
        <w:spacing w:before="100" w:beforeAutospacing="1" w:after="100" w:afterAutospacing="1" w:line="240" w:lineRule="auto"/>
        <w:rPr>
          <w:szCs w:val="18"/>
        </w:rPr>
      </w:pPr>
      <w:r>
        <w:rPr>
          <w:szCs w:val="18"/>
        </w:rPr>
        <w:t>Elke</w:t>
      </w:r>
      <w:r w:rsidRPr="0022492C">
        <w:rPr>
          <w:szCs w:val="18"/>
        </w:rPr>
        <w:t xml:space="preserve"> twee jaar vindt een Ministeriële Conferentie plaats, </w:t>
      </w:r>
      <w:r>
        <w:rPr>
          <w:szCs w:val="18"/>
        </w:rPr>
        <w:t>waar op politiek niveau besluiten genomen worden over nieuwe regels op het gebied van internationale handel en/of hervormingen van de bestaande regels</w:t>
      </w:r>
      <w:r w:rsidRPr="0022492C">
        <w:rPr>
          <w:szCs w:val="18"/>
        </w:rPr>
        <w:t xml:space="preserve">. </w:t>
      </w:r>
    </w:p>
    <w:p w14:paraId="3DCE1016" w14:textId="77777777" w:rsidR="00150BEE" w:rsidRDefault="00150BEE" w:rsidP="0022492C">
      <w:pPr>
        <w:spacing w:before="100" w:beforeAutospacing="1" w:after="100" w:afterAutospacing="1" w:line="240" w:lineRule="auto"/>
        <w:rPr>
          <w:szCs w:val="18"/>
        </w:rPr>
      </w:pPr>
      <w:r w:rsidRPr="0022492C">
        <w:rPr>
          <w:szCs w:val="18"/>
        </w:rPr>
        <w:t xml:space="preserve">De drie belangrijkste organen van de WTO zijn de Algemene Raad, de </w:t>
      </w:r>
      <w:r w:rsidRPr="009138C5">
        <w:rPr>
          <w:i/>
          <w:szCs w:val="18"/>
        </w:rPr>
        <w:t>Trade Policy Review Body</w:t>
      </w:r>
      <w:r w:rsidRPr="0022492C">
        <w:rPr>
          <w:szCs w:val="18"/>
        </w:rPr>
        <w:t xml:space="preserve"> en de </w:t>
      </w:r>
      <w:r w:rsidRPr="009138C5">
        <w:rPr>
          <w:i/>
          <w:szCs w:val="18"/>
        </w:rPr>
        <w:t>Dispute Settlement Body</w:t>
      </w:r>
      <w:r w:rsidRPr="0022492C">
        <w:rPr>
          <w:szCs w:val="18"/>
        </w:rPr>
        <w:t xml:space="preserve">. De Algemene Raad is het hoogste orgaan en kan optreden als afgevaardigde van de </w:t>
      </w:r>
      <w:r>
        <w:rPr>
          <w:szCs w:val="18"/>
        </w:rPr>
        <w:t>Ministeriële Conferentie. De 164</w:t>
      </w:r>
      <w:r w:rsidRPr="0022492C">
        <w:rPr>
          <w:szCs w:val="18"/>
        </w:rPr>
        <w:t xml:space="preserve"> landen die lid zijn van de WTO worden </w:t>
      </w:r>
      <w:r>
        <w:rPr>
          <w:szCs w:val="18"/>
        </w:rPr>
        <w:t xml:space="preserve">in de Algemene Raad vertegenwoordigd </w:t>
      </w:r>
      <w:r w:rsidRPr="0022492C">
        <w:rPr>
          <w:szCs w:val="18"/>
        </w:rPr>
        <w:t>door ambassadeurs of Permanente Vertegenwoordigers</w:t>
      </w:r>
      <w:r>
        <w:rPr>
          <w:szCs w:val="18"/>
        </w:rPr>
        <w:t>. </w:t>
      </w:r>
    </w:p>
    <w:p w14:paraId="3D9C48D1" w14:textId="378E5174" w:rsidR="00150BEE" w:rsidRDefault="00150BEE" w:rsidP="0022492C">
      <w:pPr>
        <w:spacing w:before="100" w:beforeAutospacing="1" w:after="100" w:afterAutospacing="1" w:line="240" w:lineRule="auto"/>
        <w:rPr>
          <w:szCs w:val="18"/>
        </w:rPr>
      </w:pPr>
      <w:r w:rsidRPr="0022492C">
        <w:rPr>
          <w:szCs w:val="18"/>
        </w:rPr>
        <w:t>Onder de Algemene Raad hang</w:t>
      </w:r>
      <w:r>
        <w:rPr>
          <w:szCs w:val="18"/>
        </w:rPr>
        <w:t>t</w:t>
      </w:r>
      <w:r w:rsidRPr="0022492C">
        <w:rPr>
          <w:szCs w:val="18"/>
        </w:rPr>
        <w:t xml:space="preserve"> een drietal Raden – Raad voor handel in goederen, Raad voor handel in diensten en de Raad op het gebied van inte</w:t>
      </w:r>
      <w:r>
        <w:rPr>
          <w:szCs w:val="18"/>
        </w:rPr>
        <w:t xml:space="preserve">llectueel eigendom. Deze raden zien toe op de naleving van </w:t>
      </w:r>
      <w:r w:rsidRPr="0022492C">
        <w:rPr>
          <w:szCs w:val="18"/>
        </w:rPr>
        <w:t>de verschil</w:t>
      </w:r>
      <w:r>
        <w:rPr>
          <w:szCs w:val="18"/>
        </w:rPr>
        <w:t>lende WTO-v</w:t>
      </w:r>
      <w:r w:rsidRPr="0022492C">
        <w:rPr>
          <w:szCs w:val="18"/>
        </w:rPr>
        <w:t>erdragen (resp</w:t>
      </w:r>
      <w:r>
        <w:rPr>
          <w:szCs w:val="18"/>
        </w:rPr>
        <w:t>ectievelijk</w:t>
      </w:r>
      <w:r w:rsidRPr="0022492C">
        <w:rPr>
          <w:szCs w:val="18"/>
        </w:rPr>
        <w:t xml:space="preserve"> GATT 1994, GATS en TRIPS). De afspraken gemaakt in de WTO gelden voor alle leden van de WTO, tenzij hier expliciet van wordt afgeweken</w:t>
      </w:r>
      <w:r>
        <w:rPr>
          <w:szCs w:val="18"/>
        </w:rPr>
        <w:t>. Dit is bijvoorbeeld het geval bij plurilaterale akkoorden, waar slechts een deel van de leden</w:t>
      </w:r>
      <w:r w:rsidR="00C63FED">
        <w:rPr>
          <w:szCs w:val="18"/>
        </w:rPr>
        <w:t xml:space="preserve"> </w:t>
      </w:r>
      <w:r>
        <w:rPr>
          <w:szCs w:val="18"/>
        </w:rPr>
        <w:t xml:space="preserve">zich bindt aan verdergaande liberalisering en bij multilaterale afspraken die minder vergaande concessies vragen van ontwikkelingslanden of een langere implementatieperiode bieden. </w:t>
      </w:r>
    </w:p>
    <w:p w14:paraId="31AEBB05" w14:textId="3CE58997" w:rsidR="00150BEE" w:rsidRPr="0022492C" w:rsidRDefault="00150BEE" w:rsidP="0022492C">
      <w:pPr>
        <w:spacing w:before="100" w:beforeAutospacing="1" w:after="100" w:afterAutospacing="1" w:line="240" w:lineRule="auto"/>
        <w:rPr>
          <w:szCs w:val="18"/>
        </w:rPr>
      </w:pPr>
      <w:r w:rsidRPr="0022492C">
        <w:rPr>
          <w:szCs w:val="18"/>
        </w:rPr>
        <w:t>De multilaterale onderhandelingen over verdere vrijmaking van de wereldhandel v</w:t>
      </w:r>
      <w:r>
        <w:rPr>
          <w:szCs w:val="18"/>
        </w:rPr>
        <w:t>o</w:t>
      </w:r>
      <w:r w:rsidRPr="0022492C">
        <w:rPr>
          <w:szCs w:val="18"/>
        </w:rPr>
        <w:t xml:space="preserve">nden sinds 2001 plaats in het kader van </w:t>
      </w:r>
      <w:r>
        <w:rPr>
          <w:szCs w:val="18"/>
        </w:rPr>
        <w:t>de Doha Development Agenda die de positie van</w:t>
      </w:r>
      <w:r w:rsidRPr="0022492C">
        <w:rPr>
          <w:szCs w:val="18"/>
        </w:rPr>
        <w:t xml:space="preserve"> ontwikkelingslanden in de wereld</w:t>
      </w:r>
      <w:r>
        <w:rPr>
          <w:szCs w:val="18"/>
        </w:rPr>
        <w:t>handel prioriteert</w:t>
      </w:r>
      <w:r w:rsidRPr="0022492C">
        <w:rPr>
          <w:szCs w:val="18"/>
        </w:rPr>
        <w:t xml:space="preserve">. </w:t>
      </w:r>
      <w:r>
        <w:rPr>
          <w:szCs w:val="18"/>
        </w:rPr>
        <w:t>Tijdens de 10</w:t>
      </w:r>
      <w:r w:rsidRPr="00254057">
        <w:rPr>
          <w:szCs w:val="18"/>
          <w:vertAlign w:val="superscript"/>
        </w:rPr>
        <w:t>e</w:t>
      </w:r>
      <w:r>
        <w:rPr>
          <w:szCs w:val="18"/>
        </w:rPr>
        <w:t xml:space="preserve"> </w:t>
      </w:r>
      <w:r>
        <w:rPr>
          <w:szCs w:val="18"/>
        </w:rPr>
        <w:lastRenderedPageBreak/>
        <w:t xml:space="preserve">Ministeriële Conferentie in Nairobi (2015) is overeengekomen dat de Doha-onderwerpen dienen te worden geprioriteerd in de multilaterale onderhandelingen. Belangrijkste reden hiervoor is dat een groot deel van de WTO-leden het niet realistisch acht dat er een moment komt dat in één keer over alle in 2001 overeengekomen onderwerpen een akkoord kan worden bereikt. Dit dient te worden geïnterpreteerd als een voorzichtige stap in de richting van een meer pragmatische aanpak ten aanzien van pakketjes van nieuwe handelsregels over zowel Doha-onderwerpen als ‘nieuwe’ onderwerpen. </w:t>
      </w:r>
      <w:r w:rsidRPr="0022492C">
        <w:rPr>
          <w:szCs w:val="18"/>
        </w:rPr>
        <w:t xml:space="preserve">De besprekingen vinden plaats in </w:t>
      </w:r>
      <w:r>
        <w:rPr>
          <w:szCs w:val="18"/>
        </w:rPr>
        <w:t>het</w:t>
      </w:r>
      <w:r w:rsidRPr="0022492C">
        <w:rPr>
          <w:szCs w:val="18"/>
        </w:rPr>
        <w:t xml:space="preserve"> </w:t>
      </w:r>
      <w:r w:rsidRPr="009138C5">
        <w:rPr>
          <w:i/>
          <w:szCs w:val="18"/>
        </w:rPr>
        <w:t>Trade Negotiations Committee</w:t>
      </w:r>
      <w:r w:rsidRPr="0022492C">
        <w:rPr>
          <w:szCs w:val="18"/>
        </w:rPr>
        <w:t xml:space="preserve"> onder voorzitterschap van de DG </w:t>
      </w:r>
      <w:r>
        <w:rPr>
          <w:szCs w:val="18"/>
        </w:rPr>
        <w:t xml:space="preserve">WTO.   </w:t>
      </w:r>
    </w:p>
    <w:p w14:paraId="3D5435F2" w14:textId="1652AB3D" w:rsidR="00150BEE" w:rsidRPr="00130028" w:rsidRDefault="00150BEE" w:rsidP="005B5B4B">
      <w:pPr>
        <w:pStyle w:val="CommentText"/>
        <w:rPr>
          <w:sz w:val="18"/>
          <w:szCs w:val="18"/>
        </w:rPr>
      </w:pPr>
      <w:r w:rsidRPr="00130028">
        <w:rPr>
          <w:sz w:val="18"/>
          <w:szCs w:val="18"/>
        </w:rPr>
        <w:t xml:space="preserve">Het </w:t>
      </w:r>
      <w:r w:rsidRPr="00130028">
        <w:rPr>
          <w:i/>
          <w:sz w:val="18"/>
          <w:szCs w:val="18"/>
        </w:rPr>
        <w:t>Dispute Settlement Body</w:t>
      </w:r>
      <w:r w:rsidRPr="005B5B4B">
        <w:rPr>
          <w:sz w:val="18"/>
          <w:szCs w:val="18"/>
        </w:rPr>
        <w:t xml:space="preserve"> is</w:t>
      </w:r>
      <w:r w:rsidRPr="00130028">
        <w:rPr>
          <w:sz w:val="18"/>
          <w:szCs w:val="18"/>
        </w:rPr>
        <w:t xml:space="preserve"> verantwoordelijk voor het beslechten van geschillen over eventuele strijdigheid van de WTO-regels. Daarnaast </w:t>
      </w:r>
      <w:r>
        <w:rPr>
          <w:sz w:val="18"/>
          <w:szCs w:val="18"/>
        </w:rPr>
        <w:t>kent de WTO een</w:t>
      </w:r>
      <w:r w:rsidRPr="00130028">
        <w:rPr>
          <w:sz w:val="18"/>
          <w:szCs w:val="18"/>
        </w:rPr>
        <w:t xml:space="preserve"> beroepsorgaan (</w:t>
      </w:r>
      <w:r w:rsidRPr="00130028">
        <w:rPr>
          <w:i/>
          <w:sz w:val="18"/>
          <w:szCs w:val="18"/>
        </w:rPr>
        <w:t>Appellate Body</w:t>
      </w:r>
      <w:r w:rsidRPr="005B5B4B">
        <w:rPr>
          <w:sz w:val="18"/>
          <w:szCs w:val="18"/>
        </w:rPr>
        <w:t>)</w:t>
      </w:r>
      <w:r>
        <w:rPr>
          <w:sz w:val="18"/>
          <w:szCs w:val="18"/>
        </w:rPr>
        <w:t>.</w:t>
      </w:r>
    </w:p>
    <w:p w14:paraId="58A640E8" w14:textId="78389E10" w:rsidR="00150BEE" w:rsidRDefault="00150BEE" w:rsidP="0022492C">
      <w:pPr>
        <w:spacing w:before="100" w:beforeAutospacing="1" w:after="100" w:afterAutospacing="1" w:line="240" w:lineRule="auto"/>
        <w:rPr>
          <w:szCs w:val="18"/>
        </w:rPr>
      </w:pPr>
      <w:r w:rsidRPr="0022492C">
        <w:rPr>
          <w:szCs w:val="18"/>
        </w:rPr>
        <w:t xml:space="preserve">De </w:t>
      </w:r>
      <w:r w:rsidRPr="009138C5">
        <w:rPr>
          <w:i/>
          <w:szCs w:val="18"/>
        </w:rPr>
        <w:t>Trade Policy Review Body</w:t>
      </w:r>
      <w:r w:rsidRPr="0022492C">
        <w:rPr>
          <w:szCs w:val="18"/>
        </w:rPr>
        <w:t xml:space="preserve"> is verantwoordelijk voor de </w:t>
      </w:r>
      <w:r>
        <w:rPr>
          <w:szCs w:val="18"/>
        </w:rPr>
        <w:t>doorlichting van</w:t>
      </w:r>
      <w:r w:rsidRPr="0022492C">
        <w:rPr>
          <w:szCs w:val="18"/>
        </w:rPr>
        <w:t xml:space="preserve"> </w:t>
      </w:r>
      <w:r>
        <w:rPr>
          <w:szCs w:val="18"/>
        </w:rPr>
        <w:t xml:space="preserve">het handelsbeleid van WTO-leden met de WTO-akkoorden. </w:t>
      </w:r>
      <w:r w:rsidRPr="0022492C">
        <w:rPr>
          <w:szCs w:val="18"/>
        </w:rPr>
        <w:t>Elk WTO-</w:t>
      </w:r>
      <w:r>
        <w:rPr>
          <w:szCs w:val="18"/>
        </w:rPr>
        <w:t>lid</w:t>
      </w:r>
      <w:r w:rsidRPr="0022492C">
        <w:rPr>
          <w:szCs w:val="18"/>
        </w:rPr>
        <w:t xml:space="preserve"> </w:t>
      </w:r>
      <w:r>
        <w:rPr>
          <w:szCs w:val="18"/>
        </w:rPr>
        <w:t xml:space="preserve">(met uitzondering van de aparte EU-lidstaten, die worden als EU gezamenlijk doorgelicht) </w:t>
      </w:r>
      <w:r w:rsidRPr="0022492C">
        <w:rPr>
          <w:szCs w:val="18"/>
        </w:rPr>
        <w:t>wordt elke twee, vier of zes jaar doorgelicht, afhankelijk van de omvang van diens handelsstromen</w:t>
      </w:r>
      <w:r>
        <w:rPr>
          <w:szCs w:val="18"/>
        </w:rPr>
        <w:t xml:space="preserve"> (wordt in 2019 veranderd naar drie, vijf of zeven jaar)</w:t>
      </w:r>
      <w:r w:rsidRPr="0022492C">
        <w:rPr>
          <w:szCs w:val="18"/>
        </w:rPr>
        <w:t xml:space="preserve">. </w:t>
      </w:r>
    </w:p>
    <w:p w14:paraId="322B9C4E" w14:textId="0D8E75EB" w:rsidR="00150BEE" w:rsidRDefault="00150BEE" w:rsidP="0022492C">
      <w:pPr>
        <w:spacing w:before="100" w:beforeAutospacing="1" w:after="100" w:afterAutospacing="1" w:line="240" w:lineRule="auto"/>
        <w:rPr>
          <w:szCs w:val="18"/>
        </w:rPr>
      </w:pPr>
      <w:r>
        <w:rPr>
          <w:szCs w:val="18"/>
        </w:rPr>
        <w:t xml:space="preserve">Het feit dat alle leden een even zware stem hebben binnen de WTO maakt de positie van minst ontwikkelde landen (MOL’s) en andere ontwikkelingslanden relatief sterk. Van de 48 MOL’s zijn er 36 lid van de WTO en zijn er momenteel acht aan het onderhandelen over lidmaatschap. De MOL’s vormen een aparte onderhandelingsgroep binnen de WTO en hebben een </w:t>
      </w:r>
      <w:r w:rsidR="00C63FED">
        <w:rPr>
          <w:szCs w:val="18"/>
        </w:rPr>
        <w:t>sub-comité</w:t>
      </w:r>
      <w:r>
        <w:rPr>
          <w:szCs w:val="18"/>
        </w:rPr>
        <w:t xml:space="preserve"> onder het </w:t>
      </w:r>
      <w:r w:rsidRPr="00130028">
        <w:rPr>
          <w:i/>
          <w:szCs w:val="18"/>
        </w:rPr>
        <w:t>Trade and Development Committee</w:t>
      </w:r>
      <w:r>
        <w:rPr>
          <w:szCs w:val="18"/>
        </w:rPr>
        <w:t xml:space="preserve"> waarin specifiek hun belangen worden besproken. </w:t>
      </w:r>
    </w:p>
    <w:p w14:paraId="350CC911" w14:textId="7EEA96E8" w:rsidR="00150BEE" w:rsidRDefault="00150BEE" w:rsidP="0022492C">
      <w:pPr>
        <w:spacing w:before="100" w:beforeAutospacing="1" w:after="100" w:afterAutospacing="1" w:line="240" w:lineRule="auto"/>
        <w:rPr>
          <w:szCs w:val="18"/>
        </w:rPr>
      </w:pPr>
      <w:r w:rsidRPr="008A21E5">
        <w:rPr>
          <w:szCs w:val="18"/>
        </w:rPr>
        <w:t xml:space="preserve">Naast bovenstaande onderdelen </w:t>
      </w:r>
      <w:r>
        <w:rPr>
          <w:szCs w:val="18"/>
        </w:rPr>
        <w:t>heeft</w:t>
      </w:r>
      <w:r w:rsidRPr="008A21E5">
        <w:rPr>
          <w:szCs w:val="18"/>
        </w:rPr>
        <w:t xml:space="preserve"> de WTO een coördin</w:t>
      </w:r>
      <w:r>
        <w:rPr>
          <w:szCs w:val="18"/>
        </w:rPr>
        <w:t xml:space="preserve">erende rol op het gebied van </w:t>
      </w:r>
      <w:r w:rsidRPr="00C30E66">
        <w:rPr>
          <w:i/>
          <w:szCs w:val="18"/>
        </w:rPr>
        <w:t>Aid for Trade</w:t>
      </w:r>
      <w:r w:rsidRPr="008A21E5">
        <w:rPr>
          <w:szCs w:val="18"/>
        </w:rPr>
        <w:t>. De notie “</w:t>
      </w:r>
      <w:r w:rsidRPr="00130028">
        <w:rPr>
          <w:i/>
          <w:szCs w:val="18"/>
        </w:rPr>
        <w:t>Aid for Trade</w:t>
      </w:r>
      <w:r w:rsidRPr="008A21E5">
        <w:rPr>
          <w:szCs w:val="18"/>
        </w:rPr>
        <w:t xml:space="preserve">” is gelanceerd door de WTO en de Organisatie voor Economische Samenwerking en Ontwikkeling (OESO) in 2005 en is een mondiaal partnerschap om ontwikkelingssamenwerking in te zetten ten behoeve van handelsbevordering in ontwikkelingslanden. Het initiatief heeft als doel de inspanningen van de WTO-leden op dit gebied te inventariseren, coördineren en ondersteunen. De WTO draagt bij aan </w:t>
      </w:r>
      <w:r w:rsidRPr="00D80C1E">
        <w:rPr>
          <w:i/>
          <w:szCs w:val="18"/>
        </w:rPr>
        <w:t>Aid for Trade</w:t>
      </w:r>
      <w:r w:rsidRPr="008A21E5">
        <w:rPr>
          <w:szCs w:val="18"/>
        </w:rPr>
        <w:t xml:space="preserve"> door onderzoek te doen, voortgang te monitoren en bijeenkomsten te organiseren om aandacht te genereren voor nut en noodzaak van dit type ontwikkelingssamenwerking. Het doel is om zoveel mogelijk financiering voor </w:t>
      </w:r>
      <w:r w:rsidRPr="00D80C1E">
        <w:rPr>
          <w:i/>
          <w:szCs w:val="18"/>
        </w:rPr>
        <w:t>Aid for Trade</w:t>
      </w:r>
      <w:r w:rsidRPr="008A21E5">
        <w:rPr>
          <w:szCs w:val="18"/>
        </w:rPr>
        <w:t xml:space="preserve"> te mobiliseren en </w:t>
      </w:r>
      <w:r>
        <w:rPr>
          <w:szCs w:val="18"/>
        </w:rPr>
        <w:t>bij te dragen a</w:t>
      </w:r>
      <w:r w:rsidRPr="008A21E5">
        <w:rPr>
          <w:szCs w:val="18"/>
        </w:rPr>
        <w:t xml:space="preserve">an duurzame integratie </w:t>
      </w:r>
      <w:r>
        <w:rPr>
          <w:szCs w:val="18"/>
        </w:rPr>
        <w:t xml:space="preserve">van ontwikkelingslanden </w:t>
      </w:r>
      <w:r w:rsidRPr="008A21E5">
        <w:rPr>
          <w:szCs w:val="18"/>
        </w:rPr>
        <w:t xml:space="preserve">in de mondiale waardeketens. Elke twee jaar wordt de </w:t>
      </w:r>
      <w:r w:rsidRPr="00C30E66">
        <w:rPr>
          <w:i/>
          <w:szCs w:val="18"/>
        </w:rPr>
        <w:t>Global Review on Aid for Trade</w:t>
      </w:r>
      <w:r w:rsidRPr="008A21E5">
        <w:rPr>
          <w:szCs w:val="18"/>
        </w:rPr>
        <w:t xml:space="preserve"> georganiseerd, een event volledig in het teken van </w:t>
      </w:r>
      <w:r w:rsidRPr="00D80C1E">
        <w:rPr>
          <w:i/>
          <w:szCs w:val="18"/>
        </w:rPr>
        <w:t>Aid for Trade</w:t>
      </w:r>
      <w:r w:rsidRPr="008A21E5">
        <w:rPr>
          <w:szCs w:val="18"/>
        </w:rPr>
        <w:t xml:space="preserve">. </w:t>
      </w:r>
    </w:p>
    <w:p w14:paraId="11F8429E" w14:textId="44F50797" w:rsidR="00150BEE" w:rsidRPr="008A21E5" w:rsidRDefault="00150BEE" w:rsidP="009A0711">
      <w:pPr>
        <w:spacing w:before="100" w:beforeAutospacing="1" w:line="240" w:lineRule="auto"/>
        <w:rPr>
          <w:szCs w:val="18"/>
        </w:rPr>
      </w:pPr>
      <w:r>
        <w:rPr>
          <w:szCs w:val="18"/>
          <w:u w:val="single"/>
        </w:rPr>
        <w:t>Technische assistentie</w:t>
      </w:r>
    </w:p>
    <w:p w14:paraId="218F41CC" w14:textId="3D7DAB19" w:rsidR="00150BEE" w:rsidRPr="0022492C" w:rsidRDefault="00150BEE" w:rsidP="009A0711">
      <w:pPr>
        <w:spacing w:after="100" w:afterAutospacing="1" w:line="240" w:lineRule="auto"/>
        <w:rPr>
          <w:szCs w:val="18"/>
        </w:rPr>
      </w:pPr>
      <w:r>
        <w:rPr>
          <w:szCs w:val="18"/>
        </w:rPr>
        <w:t xml:space="preserve">Het WTO-secretariaat houdt zich naast bovengenoemde taken bezig met een klein aantal technische-assistentieprogramma’s. </w:t>
      </w:r>
    </w:p>
    <w:p w14:paraId="3BFBD1CB" w14:textId="7FBFF722" w:rsidR="00150BEE" w:rsidRPr="006E22A0" w:rsidRDefault="00150BEE" w:rsidP="000E29B2">
      <w:pPr>
        <w:spacing w:before="100" w:beforeAutospacing="1" w:after="100" w:afterAutospacing="1" w:line="240" w:lineRule="auto"/>
        <w:rPr>
          <w:szCs w:val="18"/>
        </w:rPr>
      </w:pPr>
      <w:r>
        <w:rPr>
          <w:szCs w:val="18"/>
        </w:rPr>
        <w:t xml:space="preserve">Nederland draagt aan drie onderdelen van de </w:t>
      </w:r>
      <w:r w:rsidR="00C63FED">
        <w:rPr>
          <w:szCs w:val="18"/>
        </w:rPr>
        <w:t>handel gerelateerde</w:t>
      </w:r>
      <w:r>
        <w:rPr>
          <w:szCs w:val="18"/>
        </w:rPr>
        <w:t xml:space="preserve"> technische assistentie met een vrijwillige bijdrage bij: </w:t>
      </w:r>
    </w:p>
    <w:p w14:paraId="4431C47B" w14:textId="77777777" w:rsidR="00150BEE" w:rsidRPr="00894FF3" w:rsidRDefault="00150BEE" w:rsidP="00AF6A3F">
      <w:pPr>
        <w:pStyle w:val="ListParagraph"/>
        <w:numPr>
          <w:ilvl w:val="0"/>
          <w:numId w:val="13"/>
        </w:numPr>
        <w:spacing w:before="100" w:beforeAutospacing="1" w:after="100" w:afterAutospacing="1" w:line="240" w:lineRule="auto"/>
        <w:rPr>
          <w:szCs w:val="18"/>
        </w:rPr>
      </w:pPr>
      <w:r w:rsidRPr="003F0D7A">
        <w:rPr>
          <w:i/>
          <w:szCs w:val="18"/>
        </w:rPr>
        <w:t>Standards and Trade Development Facility</w:t>
      </w:r>
      <w:r w:rsidRPr="00894FF3">
        <w:rPr>
          <w:szCs w:val="18"/>
        </w:rPr>
        <w:t xml:space="preserve"> (STDF): Het doel van de STDF is ontwikkelingslanden te assisteren met de implementatie van sanitaire en fytosanitaire standaarden. STDF is opgericht door de WTO, FAO, OIE, Wereldbank en WHO. De WTO voert het secretariaat.  </w:t>
      </w:r>
    </w:p>
    <w:p w14:paraId="5C06C456" w14:textId="77777777" w:rsidR="00150BEE" w:rsidRPr="001A5509" w:rsidRDefault="00150BEE" w:rsidP="00894FF3">
      <w:pPr>
        <w:pStyle w:val="ListParagraph"/>
        <w:spacing w:before="100" w:beforeAutospacing="1" w:after="100" w:afterAutospacing="1" w:line="240" w:lineRule="auto"/>
        <w:ind w:left="360"/>
        <w:rPr>
          <w:i/>
          <w:szCs w:val="18"/>
        </w:rPr>
      </w:pPr>
    </w:p>
    <w:p w14:paraId="6AE9E6A9" w14:textId="4F7FABDB" w:rsidR="00150BEE" w:rsidRDefault="00150BEE" w:rsidP="00AF6A3F">
      <w:pPr>
        <w:pStyle w:val="ListParagraph"/>
        <w:numPr>
          <w:ilvl w:val="0"/>
          <w:numId w:val="13"/>
        </w:numPr>
        <w:spacing w:before="100" w:beforeAutospacing="1" w:after="100" w:afterAutospacing="1" w:line="240" w:lineRule="auto"/>
        <w:rPr>
          <w:szCs w:val="18"/>
        </w:rPr>
      </w:pPr>
      <w:r w:rsidRPr="001A5509">
        <w:rPr>
          <w:szCs w:val="18"/>
        </w:rPr>
        <w:t>Het</w:t>
      </w:r>
      <w:r>
        <w:rPr>
          <w:i/>
          <w:szCs w:val="18"/>
        </w:rPr>
        <w:t xml:space="preserve"> Netherlands Trainee Programme</w:t>
      </w:r>
      <w:r w:rsidRPr="00894FF3">
        <w:rPr>
          <w:szCs w:val="18"/>
        </w:rPr>
        <w:t xml:space="preserve"> (NTP) </w:t>
      </w:r>
      <w:r>
        <w:rPr>
          <w:szCs w:val="18"/>
        </w:rPr>
        <w:t>brengt</w:t>
      </w:r>
      <w:r w:rsidRPr="00894FF3">
        <w:rPr>
          <w:szCs w:val="18"/>
        </w:rPr>
        <w:t xml:space="preserve"> kennis van WTO-regels en </w:t>
      </w:r>
      <w:r>
        <w:rPr>
          <w:szCs w:val="18"/>
        </w:rPr>
        <w:t>-</w:t>
      </w:r>
      <w:r w:rsidRPr="00894FF3">
        <w:rPr>
          <w:szCs w:val="18"/>
        </w:rPr>
        <w:t xml:space="preserve">onderhandelingen </w:t>
      </w:r>
      <w:r>
        <w:rPr>
          <w:szCs w:val="18"/>
        </w:rPr>
        <w:t xml:space="preserve">over </w:t>
      </w:r>
      <w:r w:rsidRPr="00894FF3">
        <w:rPr>
          <w:szCs w:val="18"/>
        </w:rPr>
        <w:t>op</w:t>
      </w:r>
      <w:r>
        <w:rPr>
          <w:szCs w:val="18"/>
        </w:rPr>
        <w:t xml:space="preserve"> </w:t>
      </w:r>
      <w:r w:rsidRPr="00894FF3">
        <w:rPr>
          <w:szCs w:val="18"/>
        </w:rPr>
        <w:t>junior ambtenaren uit ontwikkelingslanden</w:t>
      </w:r>
      <w:r>
        <w:rPr>
          <w:szCs w:val="18"/>
        </w:rPr>
        <w:t xml:space="preserve"> tijdens een negen maanden durend </w:t>
      </w:r>
      <w:r w:rsidRPr="009A3122">
        <w:rPr>
          <w:i/>
          <w:szCs w:val="18"/>
        </w:rPr>
        <w:t>traineeship</w:t>
      </w:r>
      <w:r>
        <w:rPr>
          <w:szCs w:val="18"/>
        </w:rPr>
        <w:t xml:space="preserve"> bij de WTO</w:t>
      </w:r>
      <w:r w:rsidRPr="00894FF3">
        <w:rPr>
          <w:szCs w:val="18"/>
        </w:rPr>
        <w:t xml:space="preserve">.  </w:t>
      </w:r>
    </w:p>
    <w:p w14:paraId="1F754E12" w14:textId="77777777" w:rsidR="00150BEE" w:rsidRPr="00894FF3" w:rsidRDefault="00150BEE" w:rsidP="00894FF3">
      <w:pPr>
        <w:pStyle w:val="ListParagraph"/>
        <w:rPr>
          <w:szCs w:val="18"/>
        </w:rPr>
      </w:pPr>
    </w:p>
    <w:p w14:paraId="51BC7F29" w14:textId="4E52C310" w:rsidR="00150BEE" w:rsidRDefault="00150BEE" w:rsidP="00AF6A3F">
      <w:pPr>
        <w:pStyle w:val="ListParagraph"/>
        <w:numPr>
          <w:ilvl w:val="0"/>
          <w:numId w:val="13"/>
        </w:numPr>
        <w:spacing w:before="100" w:beforeAutospacing="1" w:after="100" w:afterAutospacing="1" w:line="240" w:lineRule="auto"/>
        <w:rPr>
          <w:szCs w:val="18"/>
        </w:rPr>
      </w:pPr>
      <w:r w:rsidRPr="001A5509">
        <w:rPr>
          <w:i/>
          <w:szCs w:val="18"/>
        </w:rPr>
        <w:lastRenderedPageBreak/>
        <w:t>WTO Chairs</w:t>
      </w:r>
      <w:r>
        <w:rPr>
          <w:i/>
          <w:szCs w:val="18"/>
        </w:rPr>
        <w:t xml:space="preserve"> Programme</w:t>
      </w:r>
      <w:r w:rsidRPr="00894FF3">
        <w:rPr>
          <w:szCs w:val="18"/>
        </w:rPr>
        <w:t xml:space="preserve"> (WCP) is een programma waarbij gedurende maximaal vier jaar zeven universiteiten worden ondersteund</w:t>
      </w:r>
      <w:r>
        <w:rPr>
          <w:szCs w:val="18"/>
        </w:rPr>
        <w:t xml:space="preserve"> bij het instellen van een</w:t>
      </w:r>
      <w:r w:rsidRPr="00894FF3">
        <w:rPr>
          <w:szCs w:val="18"/>
        </w:rPr>
        <w:t xml:space="preserve"> WTO-leerstoel met bijbehorende vakgroep. Het WTO-secretariaat ondersteunt de gevormde vakgroep.</w:t>
      </w:r>
    </w:p>
    <w:p w14:paraId="6883006B" w14:textId="75905AB8" w:rsidR="00150BEE" w:rsidRPr="0006021A" w:rsidRDefault="00150BEE" w:rsidP="000E29B2">
      <w:pPr>
        <w:spacing w:before="100" w:beforeAutospacing="1" w:after="100" w:afterAutospacing="1" w:line="240" w:lineRule="auto"/>
        <w:rPr>
          <w:szCs w:val="18"/>
        </w:rPr>
      </w:pPr>
      <w:r>
        <w:rPr>
          <w:szCs w:val="18"/>
        </w:rPr>
        <w:t xml:space="preserve">De </w:t>
      </w:r>
      <w:r w:rsidR="00C63FED">
        <w:rPr>
          <w:szCs w:val="18"/>
        </w:rPr>
        <w:t>handel gerelateerde</w:t>
      </w:r>
      <w:r>
        <w:rPr>
          <w:szCs w:val="18"/>
        </w:rPr>
        <w:t xml:space="preserve"> technische assistentie die onder de paraplu van de WTO wordt uitgevoerd is in 2016 extern geëvalueerd door Sanaa consulting. De uitkomsten hiervan waren over het algemeen positief, belangrijkste aandachtspunt was de verankering van capaciteitsopbouwprogramma’s in de reguliere organisatie </w:t>
      </w:r>
      <w:r w:rsidRPr="0006021A">
        <w:rPr>
          <w:szCs w:val="18"/>
        </w:rPr>
        <w:t xml:space="preserve">van de WTO en de betrokkenheid van het senior management bij deze programma’s. De Nederlandse IOB heeft recentelijk het </w:t>
      </w:r>
      <w:r w:rsidRPr="00C63FED">
        <w:rPr>
          <w:i/>
          <w:szCs w:val="18"/>
        </w:rPr>
        <w:t>Netherlands Trainee Programme</w:t>
      </w:r>
      <w:r w:rsidRPr="0006021A">
        <w:rPr>
          <w:szCs w:val="18"/>
        </w:rPr>
        <w:t xml:space="preserve"> en de </w:t>
      </w:r>
      <w:r w:rsidRPr="00C63FED">
        <w:rPr>
          <w:i/>
          <w:szCs w:val="18"/>
        </w:rPr>
        <w:t>Standards and Trade Development Facility</w:t>
      </w:r>
      <w:r w:rsidRPr="0006021A">
        <w:rPr>
          <w:szCs w:val="18"/>
        </w:rPr>
        <w:t xml:space="preserve"> geëvalueerd in de </w:t>
      </w:r>
      <w:r w:rsidRPr="00C63FED">
        <w:rPr>
          <w:i/>
          <w:szCs w:val="18"/>
        </w:rPr>
        <w:t>Aid-for-Trade</w:t>
      </w:r>
      <w:r w:rsidRPr="0006021A">
        <w:rPr>
          <w:szCs w:val="18"/>
        </w:rPr>
        <w:t xml:space="preserve">-evaluatie. </w:t>
      </w:r>
      <w:r w:rsidR="00687CFF">
        <w:rPr>
          <w:szCs w:val="18"/>
        </w:rPr>
        <w:br/>
      </w:r>
    </w:p>
    <w:p w14:paraId="4D95480A" w14:textId="5592814C" w:rsidR="00150BEE" w:rsidRPr="0006021A" w:rsidRDefault="009A0711" w:rsidP="009A0711">
      <w:pPr>
        <w:pStyle w:val="Heading2"/>
        <w:tabs>
          <w:tab w:val="left" w:pos="-1162"/>
          <w:tab w:val="left" w:pos="0"/>
          <w:tab w:val="num" w:pos="1160"/>
        </w:tabs>
        <w:spacing w:line="240" w:lineRule="auto"/>
        <w:ind w:hanging="1162"/>
      </w:pPr>
      <w:bookmarkStart w:id="27" w:name="_Toc491440349"/>
      <w:r>
        <w:t>3</w:t>
      </w:r>
      <w:r w:rsidR="00150BEE" w:rsidRPr="0006021A">
        <w:t xml:space="preserve">.3 </w:t>
      </w:r>
      <w:r w:rsidR="00150BEE" w:rsidRPr="0006021A">
        <w:tab/>
        <w:t>Nederlandse rol en invloed</w:t>
      </w:r>
      <w:bookmarkEnd w:id="27"/>
    </w:p>
    <w:p w14:paraId="7120377C" w14:textId="219E971A" w:rsidR="00150BEE" w:rsidRDefault="00150BEE" w:rsidP="00C31D92">
      <w:pPr>
        <w:rPr>
          <w:szCs w:val="18"/>
        </w:rPr>
      </w:pPr>
      <w:r w:rsidRPr="00C31D92">
        <w:rPr>
          <w:szCs w:val="18"/>
        </w:rPr>
        <w:t xml:space="preserve">Nederland wordt </w:t>
      </w:r>
      <w:r>
        <w:rPr>
          <w:szCs w:val="18"/>
        </w:rPr>
        <w:t>bij</w:t>
      </w:r>
      <w:r w:rsidRPr="00C31D92">
        <w:rPr>
          <w:szCs w:val="18"/>
        </w:rPr>
        <w:t xml:space="preserve"> de WTO vertegenwoordigd door de </w:t>
      </w:r>
      <w:r w:rsidRPr="00A87C35">
        <w:rPr>
          <w:szCs w:val="18"/>
        </w:rPr>
        <w:t xml:space="preserve">Nederlandse </w:t>
      </w:r>
      <w:r w:rsidRPr="00C31D92">
        <w:rPr>
          <w:szCs w:val="18"/>
        </w:rPr>
        <w:t xml:space="preserve">Permanent Vertegenwoordiger in Genève. </w:t>
      </w:r>
      <w:r>
        <w:rPr>
          <w:szCs w:val="18"/>
        </w:rPr>
        <w:t xml:space="preserve">Nederland is net als de EU zelfstandig lid van de WTO en heeft de daaraan verbonden (stem-)rechten. </w:t>
      </w:r>
      <w:r w:rsidRPr="00A87C35">
        <w:rPr>
          <w:szCs w:val="18"/>
        </w:rPr>
        <w:t xml:space="preserve">Omdat handelspolitiek </w:t>
      </w:r>
      <w:r w:rsidRPr="00C31D92">
        <w:rPr>
          <w:szCs w:val="18"/>
        </w:rPr>
        <w:t>een exclusieve competentie van</w:t>
      </w:r>
      <w:r w:rsidRPr="00A87C35">
        <w:rPr>
          <w:szCs w:val="18"/>
        </w:rPr>
        <w:t xml:space="preserve"> de EU (de Europese Commissie) is, spreekt de Europese delegatie in Genève namens de EU en </w:t>
      </w:r>
      <w:r>
        <w:rPr>
          <w:szCs w:val="18"/>
        </w:rPr>
        <w:t>de EU-</w:t>
      </w:r>
      <w:r w:rsidRPr="00A87C35">
        <w:rPr>
          <w:szCs w:val="18"/>
        </w:rPr>
        <w:t>lidstaten.</w:t>
      </w:r>
      <w:r>
        <w:rPr>
          <w:szCs w:val="18"/>
        </w:rPr>
        <w:t xml:space="preserve"> </w:t>
      </w:r>
      <w:r w:rsidRPr="00C31D92">
        <w:rPr>
          <w:szCs w:val="18"/>
        </w:rPr>
        <w:t xml:space="preserve">Nederland </w:t>
      </w:r>
      <w:r>
        <w:rPr>
          <w:szCs w:val="18"/>
        </w:rPr>
        <w:t>voert wel het woord</w:t>
      </w:r>
      <w:r w:rsidRPr="00C31D92">
        <w:rPr>
          <w:szCs w:val="18"/>
        </w:rPr>
        <w:t xml:space="preserve"> in budgettaire kwesties en op </w:t>
      </w:r>
      <w:r>
        <w:rPr>
          <w:szCs w:val="18"/>
        </w:rPr>
        <w:t>het gebied van ontwikkelingssamenwerking. WTO-bijeenkomsten worden doorgaans voorafgegaan door een EU-coördinatiebijeenkomst.</w:t>
      </w:r>
      <w:r w:rsidRPr="00A87C35">
        <w:rPr>
          <w:szCs w:val="18"/>
        </w:rPr>
        <w:t xml:space="preserve"> </w:t>
      </w:r>
      <w:r>
        <w:rPr>
          <w:szCs w:val="18"/>
        </w:rPr>
        <w:t xml:space="preserve">Nederland is aanwezig bij de formele vergaderingen en kan via informele contacten en vergaderingen de agenda van de EU ondersteunen en inzet leveren op de ontwikkelingsdimensie van handelspolitiek door zelf initiatieven te ontplooien in WTO-verband. </w:t>
      </w:r>
    </w:p>
    <w:p w14:paraId="6D8ECA28" w14:textId="77777777" w:rsidR="00150BEE" w:rsidRDefault="00150BEE" w:rsidP="00C31D92">
      <w:pPr>
        <w:rPr>
          <w:szCs w:val="18"/>
        </w:rPr>
      </w:pPr>
    </w:p>
    <w:p w14:paraId="2111E697" w14:textId="606056A0" w:rsidR="00150BEE" w:rsidRPr="00C31D92" w:rsidRDefault="00150BEE" w:rsidP="00C31D92">
      <w:pPr>
        <w:rPr>
          <w:szCs w:val="18"/>
        </w:rPr>
      </w:pPr>
      <w:r>
        <w:rPr>
          <w:szCs w:val="18"/>
        </w:rPr>
        <w:t xml:space="preserve">Nederland heeft sinds 2014 het voorzitterschap van het </w:t>
      </w:r>
      <w:r w:rsidRPr="00C30E66">
        <w:rPr>
          <w:szCs w:val="18"/>
        </w:rPr>
        <w:t>sub</w:t>
      </w:r>
      <w:r w:rsidR="00C63FED">
        <w:rPr>
          <w:szCs w:val="18"/>
        </w:rPr>
        <w:t>-</w:t>
      </w:r>
      <w:r w:rsidRPr="00C30E66">
        <w:rPr>
          <w:szCs w:val="18"/>
        </w:rPr>
        <w:t>comit</w:t>
      </w:r>
      <w:r>
        <w:rPr>
          <w:szCs w:val="18"/>
        </w:rPr>
        <w:t>é voor de minst ontwikkelde landen. In die hoedanigheid is Nederland goed op de hoogte van de noden van de MOL</w:t>
      </w:r>
      <w:r w:rsidR="00C63FED">
        <w:rPr>
          <w:szCs w:val="18"/>
        </w:rPr>
        <w:t>’</w:t>
      </w:r>
      <w:r>
        <w:rPr>
          <w:szCs w:val="18"/>
        </w:rPr>
        <w:t>s in het multilaterale handelssysteem en is Nederland in staat om de agenda van de MOL</w:t>
      </w:r>
      <w:r w:rsidR="00C63FED">
        <w:rPr>
          <w:szCs w:val="18"/>
        </w:rPr>
        <w:t>’</w:t>
      </w:r>
      <w:r>
        <w:rPr>
          <w:szCs w:val="18"/>
        </w:rPr>
        <w:t xml:space="preserve">s op concrete wijze te ondersteunen.  </w:t>
      </w:r>
      <w:r w:rsidRPr="00C31D92">
        <w:rPr>
          <w:szCs w:val="18"/>
        </w:rPr>
        <w:t xml:space="preserve"> </w:t>
      </w:r>
    </w:p>
    <w:p w14:paraId="436A8B02" w14:textId="77777777" w:rsidR="00150BEE" w:rsidRDefault="00150BEE" w:rsidP="00C31D92"/>
    <w:p w14:paraId="3C2A73E4" w14:textId="62381516" w:rsidR="00150BEE" w:rsidRDefault="009A0711" w:rsidP="009A0711">
      <w:pPr>
        <w:pStyle w:val="Heading2"/>
        <w:tabs>
          <w:tab w:val="left" w:pos="-1162"/>
          <w:tab w:val="left" w:pos="0"/>
          <w:tab w:val="num" w:pos="1160"/>
        </w:tabs>
        <w:spacing w:line="240" w:lineRule="auto"/>
        <w:ind w:hanging="1162"/>
      </w:pPr>
      <w:bookmarkStart w:id="28" w:name="_Toc491440350"/>
      <w:r>
        <w:t>3</w:t>
      </w:r>
      <w:r w:rsidR="00150BEE">
        <w:t>.4</w:t>
      </w:r>
      <w:r w:rsidR="00150BEE">
        <w:tab/>
        <w:t>Financiële omvang en bijdragen</w:t>
      </w:r>
      <w:bookmarkEnd w:id="28"/>
    </w:p>
    <w:p w14:paraId="4FE11CAB" w14:textId="4676993D" w:rsidR="00150BEE" w:rsidRPr="004F6AC7" w:rsidRDefault="00150BEE" w:rsidP="004F6AC7">
      <w:pPr>
        <w:pStyle w:val="NormalWeb"/>
        <w:rPr>
          <w:szCs w:val="18"/>
        </w:rPr>
      </w:pPr>
      <w:r>
        <w:rPr>
          <w:szCs w:val="18"/>
        </w:rPr>
        <w:t>De WTO</w:t>
      </w:r>
      <w:r w:rsidRPr="00A87C35">
        <w:rPr>
          <w:szCs w:val="18"/>
        </w:rPr>
        <w:t xml:space="preserve"> wordt gefinancierd via verplichte contributies. De verplichte contributie van een WTO-lid is het percentage van het totale budget dat gelijk is aan diens aandeel in de internationale handel van alle WTO-leden, met een minimum van 0,015%. </w:t>
      </w:r>
    </w:p>
    <w:p w14:paraId="6E05C4F7" w14:textId="63A2C7BF" w:rsidR="00150BEE" w:rsidRDefault="00150BEE" w:rsidP="005150FC"/>
    <w:p w14:paraId="76D5DFCC" w14:textId="17D0DED7" w:rsidR="00535927" w:rsidRDefault="00535927" w:rsidP="005150FC">
      <w:r>
        <w:t>Financieel Overzicht (bijdragen in EUR miljoen)</w:t>
      </w:r>
      <w:r w:rsidR="00CB0EFF">
        <w:t xml:space="preserve"> </w:t>
      </w:r>
    </w:p>
    <w:tbl>
      <w:tblPr>
        <w:tblpPr w:leftFromText="141" w:rightFromText="141" w:vertAnchor="text" w:horzAnchor="margin" w:tblpY="138"/>
        <w:tblW w:w="4797"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1120"/>
        <w:gridCol w:w="2745"/>
        <w:gridCol w:w="1139"/>
        <w:gridCol w:w="1358"/>
      </w:tblGrid>
      <w:tr w:rsidR="00150BEE" w14:paraId="7EE1D072" w14:textId="77777777" w:rsidTr="00D91491">
        <w:tc>
          <w:tcPr>
            <w:tcW w:w="708" w:type="pct"/>
            <w:tcBorders>
              <w:top w:val="single" w:sz="12" w:space="0" w:color="auto"/>
              <w:left w:val="single" w:sz="12" w:space="0" w:color="auto"/>
              <w:bottom w:val="single" w:sz="4" w:space="0" w:color="auto"/>
              <w:right w:val="single" w:sz="4" w:space="0" w:color="auto"/>
            </w:tcBorders>
            <w:shd w:val="clear" w:color="auto" w:fill="D9D9D9" w:themeFill="background1" w:themeFillShade="D9"/>
          </w:tcPr>
          <w:p w14:paraId="7CE16DA4" w14:textId="0FF5786C" w:rsidR="00150BEE" w:rsidRDefault="00150BEE" w:rsidP="00535927"/>
        </w:tc>
        <w:tc>
          <w:tcPr>
            <w:tcW w:w="3357" w:type="pct"/>
            <w:gridSpan w:val="3"/>
            <w:tcBorders>
              <w:top w:val="single" w:sz="12" w:space="0" w:color="auto"/>
              <w:left w:val="single" w:sz="4" w:space="0" w:color="auto"/>
              <w:bottom w:val="single" w:sz="4" w:space="0" w:color="auto"/>
              <w:right w:val="single" w:sz="4" w:space="0" w:color="auto"/>
            </w:tcBorders>
            <w:shd w:val="clear" w:color="auto" w:fill="D9D9D9" w:themeFill="background1" w:themeFillShade="D9"/>
            <w:hideMark/>
          </w:tcPr>
          <w:p w14:paraId="6F383339" w14:textId="77777777" w:rsidR="00150BEE" w:rsidRDefault="00150BEE" w:rsidP="00105760">
            <w:pPr>
              <w:jc w:val="center"/>
              <w:rPr>
                <w:b/>
              </w:rPr>
            </w:pPr>
            <w:r>
              <w:rPr>
                <w:b/>
              </w:rPr>
              <w:t>Inkomsten</w:t>
            </w:r>
          </w:p>
        </w:tc>
        <w:tc>
          <w:tcPr>
            <w:tcW w:w="936" w:type="pct"/>
            <w:tcBorders>
              <w:top w:val="single" w:sz="12" w:space="0" w:color="auto"/>
              <w:left w:val="single" w:sz="4" w:space="0" w:color="auto"/>
              <w:bottom w:val="single" w:sz="4" w:space="0" w:color="auto"/>
              <w:right w:val="single" w:sz="12" w:space="0" w:color="auto"/>
            </w:tcBorders>
            <w:shd w:val="clear" w:color="auto" w:fill="D9D9D9" w:themeFill="background1" w:themeFillShade="D9"/>
            <w:hideMark/>
          </w:tcPr>
          <w:p w14:paraId="5A11FB48" w14:textId="77777777" w:rsidR="00150BEE" w:rsidRDefault="00150BEE" w:rsidP="00535927">
            <w:pPr>
              <w:jc w:val="center"/>
              <w:rPr>
                <w:b/>
              </w:rPr>
            </w:pPr>
            <w:r>
              <w:rPr>
                <w:b/>
              </w:rPr>
              <w:t>Uitgaven</w:t>
            </w:r>
          </w:p>
        </w:tc>
      </w:tr>
      <w:tr w:rsidR="00150BEE" w14:paraId="579C9616" w14:textId="77777777" w:rsidTr="00D91491">
        <w:tc>
          <w:tcPr>
            <w:tcW w:w="708" w:type="pct"/>
            <w:tcBorders>
              <w:top w:val="single" w:sz="4" w:space="0" w:color="auto"/>
              <w:left w:val="single" w:sz="12" w:space="0" w:color="auto"/>
              <w:bottom w:val="nil"/>
              <w:right w:val="single" w:sz="4" w:space="0" w:color="auto"/>
            </w:tcBorders>
            <w:shd w:val="clear" w:color="auto" w:fill="D9D9D9" w:themeFill="background1" w:themeFillShade="D9"/>
            <w:vAlign w:val="center"/>
            <w:hideMark/>
          </w:tcPr>
          <w:p w14:paraId="380696B5" w14:textId="77777777" w:rsidR="00150BEE" w:rsidRDefault="00150BEE" w:rsidP="00105760">
            <w:pPr>
              <w:rPr>
                <w:i/>
              </w:rPr>
            </w:pPr>
            <w:r>
              <w:rPr>
                <w:i/>
              </w:rPr>
              <w:t>Jaar</w:t>
            </w:r>
          </w:p>
        </w:tc>
        <w:tc>
          <w:tcPr>
            <w:tcW w:w="735"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6FD069CE" w14:textId="77777777" w:rsidR="00150BEE" w:rsidRDefault="00150BEE" w:rsidP="00105760">
            <w:pPr>
              <w:rPr>
                <w:i/>
              </w:rPr>
            </w:pPr>
            <w:r>
              <w:rPr>
                <w:i/>
              </w:rPr>
              <w:t>Verplichte</w:t>
            </w:r>
          </w:p>
        </w:tc>
        <w:tc>
          <w:tcPr>
            <w:tcW w:w="1874"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2977EBB0" w14:textId="7DAA244C" w:rsidR="00150BEE" w:rsidRDefault="00535927" w:rsidP="00105760">
            <w:pPr>
              <w:jc w:val="center"/>
              <w:rPr>
                <w:i/>
              </w:rPr>
            </w:pPr>
            <w:r>
              <w:rPr>
                <w:i/>
              </w:rPr>
              <w:t>A</w:t>
            </w:r>
            <w:r w:rsidR="00150BEE">
              <w:rPr>
                <w:i/>
              </w:rPr>
              <w:t>ndere inkomsten</w:t>
            </w:r>
          </w:p>
          <w:p w14:paraId="78998F7B" w14:textId="77777777" w:rsidR="00150BEE" w:rsidRDefault="00150BEE" w:rsidP="00105760">
            <w:pPr>
              <w:rPr>
                <w:i/>
              </w:rPr>
            </w:pPr>
          </w:p>
        </w:tc>
        <w:tc>
          <w:tcPr>
            <w:tcW w:w="747"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36226C01" w14:textId="77777777" w:rsidR="00150BEE" w:rsidRDefault="00150BEE" w:rsidP="00535927">
            <w:pPr>
              <w:jc w:val="center"/>
              <w:rPr>
                <w:i/>
              </w:rPr>
            </w:pPr>
            <w:r>
              <w:rPr>
                <w:i/>
              </w:rPr>
              <w:t>Totaal</w:t>
            </w:r>
          </w:p>
        </w:tc>
        <w:tc>
          <w:tcPr>
            <w:tcW w:w="936" w:type="pct"/>
            <w:tcBorders>
              <w:top w:val="single" w:sz="4" w:space="0" w:color="auto"/>
              <w:left w:val="single" w:sz="4" w:space="0" w:color="auto"/>
              <w:bottom w:val="nil"/>
              <w:right w:val="single" w:sz="12" w:space="0" w:color="auto"/>
            </w:tcBorders>
            <w:shd w:val="clear" w:color="auto" w:fill="D9D9D9" w:themeFill="background1" w:themeFillShade="D9"/>
            <w:vAlign w:val="center"/>
            <w:hideMark/>
          </w:tcPr>
          <w:p w14:paraId="619621D3" w14:textId="77777777" w:rsidR="00150BEE" w:rsidRDefault="00150BEE" w:rsidP="00535927">
            <w:pPr>
              <w:jc w:val="center"/>
              <w:rPr>
                <w:i/>
              </w:rPr>
            </w:pPr>
            <w:r>
              <w:rPr>
                <w:i/>
              </w:rPr>
              <w:t>Totaal</w:t>
            </w:r>
          </w:p>
        </w:tc>
      </w:tr>
      <w:tr w:rsidR="00150BEE" w14:paraId="704964BD" w14:textId="77777777" w:rsidTr="00D91491">
        <w:tc>
          <w:tcPr>
            <w:tcW w:w="708" w:type="pct"/>
            <w:tcBorders>
              <w:top w:val="nil"/>
              <w:left w:val="single" w:sz="12" w:space="0" w:color="auto"/>
              <w:bottom w:val="single" w:sz="12" w:space="0" w:color="auto"/>
              <w:right w:val="single" w:sz="4" w:space="0" w:color="auto"/>
            </w:tcBorders>
            <w:shd w:val="clear" w:color="auto" w:fill="D9D9D9" w:themeFill="background1" w:themeFillShade="D9"/>
            <w:vAlign w:val="center"/>
            <w:hideMark/>
          </w:tcPr>
          <w:p w14:paraId="2D369C31" w14:textId="77777777" w:rsidR="00150BEE" w:rsidRDefault="00150BEE" w:rsidP="00105760">
            <w:pPr>
              <w:rPr>
                <w:i/>
              </w:rPr>
            </w:pPr>
          </w:p>
        </w:tc>
        <w:tc>
          <w:tcPr>
            <w:tcW w:w="735" w:type="pct"/>
            <w:tcBorders>
              <w:top w:val="nil"/>
              <w:left w:val="single" w:sz="4" w:space="0" w:color="auto"/>
              <w:bottom w:val="single" w:sz="12" w:space="0" w:color="auto"/>
              <w:right w:val="single" w:sz="4" w:space="0" w:color="auto"/>
            </w:tcBorders>
            <w:shd w:val="clear" w:color="auto" w:fill="D9D9D9" w:themeFill="background1" w:themeFillShade="D9"/>
            <w:vAlign w:val="center"/>
            <w:hideMark/>
          </w:tcPr>
          <w:p w14:paraId="2312C13E" w14:textId="77777777" w:rsidR="00150BEE" w:rsidRDefault="00150BEE" w:rsidP="00105760">
            <w:pPr>
              <w:rPr>
                <w:i/>
              </w:rPr>
            </w:pPr>
            <w:r>
              <w:rPr>
                <w:i/>
              </w:rPr>
              <w:t>bijdragen</w:t>
            </w:r>
          </w:p>
        </w:tc>
        <w:tc>
          <w:tcPr>
            <w:tcW w:w="1874" w:type="pct"/>
            <w:vMerge/>
            <w:tcBorders>
              <w:left w:val="single" w:sz="4" w:space="0" w:color="auto"/>
              <w:bottom w:val="single" w:sz="12" w:space="0" w:color="auto"/>
              <w:right w:val="single" w:sz="4" w:space="0" w:color="auto"/>
            </w:tcBorders>
            <w:shd w:val="clear" w:color="auto" w:fill="D9D9D9" w:themeFill="background1" w:themeFillShade="D9"/>
            <w:vAlign w:val="center"/>
            <w:hideMark/>
          </w:tcPr>
          <w:p w14:paraId="218C3F44" w14:textId="77777777" w:rsidR="00150BEE" w:rsidRDefault="00150BEE" w:rsidP="00105760">
            <w:pPr>
              <w:rPr>
                <w:i/>
              </w:rPr>
            </w:pPr>
          </w:p>
        </w:tc>
        <w:tc>
          <w:tcPr>
            <w:tcW w:w="747" w:type="pct"/>
            <w:tcBorders>
              <w:top w:val="nil"/>
              <w:left w:val="single" w:sz="4" w:space="0" w:color="auto"/>
              <w:bottom w:val="single" w:sz="12" w:space="0" w:color="auto"/>
              <w:right w:val="single" w:sz="4" w:space="0" w:color="auto"/>
            </w:tcBorders>
            <w:shd w:val="clear" w:color="auto" w:fill="D9D9D9" w:themeFill="background1" w:themeFillShade="D9"/>
            <w:vAlign w:val="center"/>
          </w:tcPr>
          <w:p w14:paraId="1C63E215" w14:textId="77777777" w:rsidR="00150BEE" w:rsidRDefault="00150BEE" w:rsidP="00105760">
            <w:pPr>
              <w:rPr>
                <w:i/>
              </w:rPr>
            </w:pPr>
          </w:p>
        </w:tc>
        <w:tc>
          <w:tcPr>
            <w:tcW w:w="936" w:type="pct"/>
            <w:tcBorders>
              <w:top w:val="nil"/>
              <w:left w:val="single" w:sz="4" w:space="0" w:color="auto"/>
              <w:bottom w:val="single" w:sz="12" w:space="0" w:color="auto"/>
              <w:right w:val="single" w:sz="12" w:space="0" w:color="auto"/>
            </w:tcBorders>
            <w:shd w:val="clear" w:color="auto" w:fill="D9D9D9" w:themeFill="background1" w:themeFillShade="D9"/>
            <w:vAlign w:val="center"/>
          </w:tcPr>
          <w:p w14:paraId="3EE4F2F5" w14:textId="77777777" w:rsidR="00150BEE" w:rsidRDefault="00150BEE" w:rsidP="00105760">
            <w:pPr>
              <w:rPr>
                <w:i/>
              </w:rPr>
            </w:pPr>
          </w:p>
        </w:tc>
      </w:tr>
      <w:tr w:rsidR="00150BEE" w14:paraId="7ABF0825" w14:textId="77777777" w:rsidTr="00D91491">
        <w:tc>
          <w:tcPr>
            <w:tcW w:w="708" w:type="pct"/>
            <w:tcBorders>
              <w:top w:val="single" w:sz="12" w:space="0" w:color="auto"/>
              <w:left w:val="single" w:sz="12" w:space="0" w:color="auto"/>
              <w:bottom w:val="single" w:sz="4" w:space="0" w:color="auto"/>
              <w:right w:val="single" w:sz="4" w:space="0" w:color="auto"/>
            </w:tcBorders>
            <w:vAlign w:val="center"/>
            <w:hideMark/>
          </w:tcPr>
          <w:p w14:paraId="4AAA884B" w14:textId="190C6CAD" w:rsidR="00150BEE" w:rsidRDefault="00150BEE" w:rsidP="00CB0EFF">
            <w:r>
              <w:t>2014</w:t>
            </w:r>
          </w:p>
        </w:tc>
        <w:tc>
          <w:tcPr>
            <w:tcW w:w="735" w:type="pct"/>
            <w:tcBorders>
              <w:top w:val="single" w:sz="12" w:space="0" w:color="auto"/>
              <w:left w:val="single" w:sz="4" w:space="0" w:color="auto"/>
              <w:bottom w:val="single" w:sz="4" w:space="0" w:color="auto"/>
              <w:right w:val="single" w:sz="4" w:space="0" w:color="auto"/>
            </w:tcBorders>
            <w:vAlign w:val="center"/>
          </w:tcPr>
          <w:p w14:paraId="0B3B72CD" w14:textId="7A73C008" w:rsidR="00150BEE" w:rsidRDefault="00CB0EFF" w:rsidP="00CB0EFF">
            <w:pPr>
              <w:jc w:val="center"/>
            </w:pPr>
            <w:r>
              <w:t xml:space="preserve">    </w:t>
            </w:r>
            <w:r w:rsidR="00150BEE">
              <w:t>162,6</w:t>
            </w:r>
          </w:p>
        </w:tc>
        <w:tc>
          <w:tcPr>
            <w:tcW w:w="1874" w:type="pct"/>
            <w:tcBorders>
              <w:top w:val="single" w:sz="12" w:space="0" w:color="auto"/>
              <w:left w:val="single" w:sz="4" w:space="0" w:color="auto"/>
              <w:right w:val="single" w:sz="4" w:space="0" w:color="auto"/>
            </w:tcBorders>
            <w:vAlign w:val="center"/>
          </w:tcPr>
          <w:p w14:paraId="02AFD5E1" w14:textId="77777777" w:rsidR="00150BEE" w:rsidRDefault="00150BEE" w:rsidP="00105760">
            <w:r>
              <w:t>1,4</w:t>
            </w:r>
          </w:p>
        </w:tc>
        <w:tc>
          <w:tcPr>
            <w:tcW w:w="747" w:type="pct"/>
            <w:tcBorders>
              <w:top w:val="single" w:sz="12" w:space="0" w:color="auto"/>
              <w:left w:val="single" w:sz="4" w:space="0" w:color="auto"/>
              <w:bottom w:val="single" w:sz="4" w:space="0" w:color="auto"/>
              <w:right w:val="single" w:sz="4" w:space="0" w:color="auto"/>
            </w:tcBorders>
            <w:vAlign w:val="center"/>
          </w:tcPr>
          <w:p w14:paraId="2EACBD14" w14:textId="77777777" w:rsidR="00150BEE" w:rsidRDefault="00150BEE" w:rsidP="00105760">
            <w:pPr>
              <w:tabs>
                <w:tab w:val="decimal" w:pos="743"/>
              </w:tabs>
            </w:pPr>
            <w:r>
              <w:t>164,0</w:t>
            </w:r>
          </w:p>
        </w:tc>
        <w:tc>
          <w:tcPr>
            <w:tcW w:w="936" w:type="pct"/>
            <w:tcBorders>
              <w:top w:val="single" w:sz="12" w:space="0" w:color="auto"/>
              <w:left w:val="single" w:sz="4" w:space="0" w:color="auto"/>
              <w:bottom w:val="single" w:sz="4" w:space="0" w:color="auto"/>
              <w:right w:val="single" w:sz="12" w:space="0" w:color="auto"/>
            </w:tcBorders>
            <w:vAlign w:val="center"/>
          </w:tcPr>
          <w:p w14:paraId="33DE85C8" w14:textId="77777777" w:rsidR="00150BEE" w:rsidRDefault="00150BEE" w:rsidP="00105760">
            <w:pPr>
              <w:tabs>
                <w:tab w:val="decimal" w:pos="885"/>
              </w:tabs>
            </w:pPr>
            <w:r>
              <w:t>151,8</w:t>
            </w:r>
          </w:p>
        </w:tc>
      </w:tr>
      <w:tr w:rsidR="00150BEE" w14:paraId="245A8EA4" w14:textId="77777777" w:rsidTr="00D91491">
        <w:tc>
          <w:tcPr>
            <w:tcW w:w="708" w:type="pct"/>
            <w:tcBorders>
              <w:top w:val="single" w:sz="4" w:space="0" w:color="auto"/>
              <w:left w:val="single" w:sz="12" w:space="0" w:color="auto"/>
              <w:bottom w:val="single" w:sz="4" w:space="0" w:color="auto"/>
              <w:right w:val="single" w:sz="4" w:space="0" w:color="auto"/>
            </w:tcBorders>
            <w:vAlign w:val="center"/>
            <w:hideMark/>
          </w:tcPr>
          <w:p w14:paraId="0DA86004" w14:textId="644C0107" w:rsidR="00150BEE" w:rsidRDefault="00150BEE" w:rsidP="00CB0EFF">
            <w:r>
              <w:t>2015</w:t>
            </w:r>
          </w:p>
        </w:tc>
        <w:tc>
          <w:tcPr>
            <w:tcW w:w="735" w:type="pct"/>
            <w:tcBorders>
              <w:top w:val="single" w:sz="4" w:space="0" w:color="auto"/>
              <w:left w:val="single" w:sz="4" w:space="0" w:color="auto"/>
              <w:bottom w:val="single" w:sz="4" w:space="0" w:color="auto"/>
              <w:right w:val="single" w:sz="4" w:space="0" w:color="auto"/>
            </w:tcBorders>
            <w:vAlign w:val="center"/>
          </w:tcPr>
          <w:p w14:paraId="0F783493" w14:textId="77777777" w:rsidR="00150BEE" w:rsidRPr="00A7084E" w:rsidRDefault="00150BEE" w:rsidP="00105760">
            <w:pPr>
              <w:tabs>
                <w:tab w:val="decimal" w:pos="674"/>
              </w:tabs>
              <w:rPr>
                <w:b/>
              </w:rPr>
            </w:pPr>
            <w:r>
              <w:rPr>
                <w:rStyle w:val="Strong"/>
                <w:b w:val="0"/>
              </w:rPr>
              <w:t>179,8</w:t>
            </w:r>
          </w:p>
        </w:tc>
        <w:tc>
          <w:tcPr>
            <w:tcW w:w="1874" w:type="pct"/>
            <w:tcBorders>
              <w:left w:val="single" w:sz="4" w:space="0" w:color="auto"/>
              <w:right w:val="single" w:sz="4" w:space="0" w:color="auto"/>
            </w:tcBorders>
            <w:vAlign w:val="center"/>
          </w:tcPr>
          <w:p w14:paraId="1185AAF2" w14:textId="77777777" w:rsidR="00150BEE" w:rsidRDefault="00150BEE" w:rsidP="00105760">
            <w:r>
              <w:t>1,6</w:t>
            </w:r>
          </w:p>
        </w:tc>
        <w:tc>
          <w:tcPr>
            <w:tcW w:w="747" w:type="pct"/>
            <w:tcBorders>
              <w:top w:val="single" w:sz="4" w:space="0" w:color="auto"/>
              <w:left w:val="single" w:sz="4" w:space="0" w:color="auto"/>
              <w:bottom w:val="single" w:sz="4" w:space="0" w:color="auto"/>
              <w:right w:val="single" w:sz="4" w:space="0" w:color="auto"/>
            </w:tcBorders>
            <w:vAlign w:val="center"/>
          </w:tcPr>
          <w:p w14:paraId="4FFBBA97" w14:textId="77777777" w:rsidR="00150BEE" w:rsidRDefault="00150BEE" w:rsidP="00105760">
            <w:pPr>
              <w:tabs>
                <w:tab w:val="decimal" w:pos="743"/>
              </w:tabs>
            </w:pPr>
            <w:r>
              <w:t xml:space="preserve"> 181,4</w:t>
            </w:r>
          </w:p>
        </w:tc>
        <w:tc>
          <w:tcPr>
            <w:tcW w:w="936" w:type="pct"/>
            <w:tcBorders>
              <w:top w:val="single" w:sz="4" w:space="0" w:color="auto"/>
              <w:left w:val="single" w:sz="4" w:space="0" w:color="auto"/>
              <w:bottom w:val="single" w:sz="4" w:space="0" w:color="auto"/>
              <w:right w:val="single" w:sz="12" w:space="0" w:color="auto"/>
            </w:tcBorders>
            <w:vAlign w:val="center"/>
          </w:tcPr>
          <w:p w14:paraId="073200EF" w14:textId="77777777" w:rsidR="00150BEE" w:rsidRDefault="00150BEE" w:rsidP="00105760">
            <w:pPr>
              <w:tabs>
                <w:tab w:val="decimal" w:pos="885"/>
              </w:tabs>
            </w:pPr>
            <w:r>
              <w:t>177,1</w:t>
            </w:r>
          </w:p>
        </w:tc>
      </w:tr>
      <w:tr w:rsidR="00150BEE" w14:paraId="35591915" w14:textId="77777777" w:rsidTr="00D91491">
        <w:tc>
          <w:tcPr>
            <w:tcW w:w="708" w:type="pct"/>
            <w:tcBorders>
              <w:top w:val="single" w:sz="4" w:space="0" w:color="auto"/>
              <w:left w:val="single" w:sz="12" w:space="0" w:color="auto"/>
              <w:bottom w:val="single" w:sz="12" w:space="0" w:color="auto"/>
              <w:right w:val="single" w:sz="4" w:space="0" w:color="auto"/>
            </w:tcBorders>
            <w:vAlign w:val="center"/>
          </w:tcPr>
          <w:p w14:paraId="411EFDCC" w14:textId="0CDB6D90" w:rsidR="00150BEE" w:rsidRPr="00F5555E" w:rsidRDefault="00150BEE" w:rsidP="00CB0EFF">
            <w:r w:rsidRPr="00F5555E">
              <w:t>2016</w:t>
            </w:r>
          </w:p>
        </w:tc>
        <w:tc>
          <w:tcPr>
            <w:tcW w:w="735" w:type="pct"/>
            <w:tcBorders>
              <w:top w:val="single" w:sz="4" w:space="0" w:color="auto"/>
              <w:left w:val="single" w:sz="4" w:space="0" w:color="auto"/>
              <w:bottom w:val="single" w:sz="12" w:space="0" w:color="auto"/>
              <w:right w:val="single" w:sz="4" w:space="0" w:color="auto"/>
            </w:tcBorders>
          </w:tcPr>
          <w:p w14:paraId="5CFB5B3E" w14:textId="77777777" w:rsidR="00150BEE" w:rsidRPr="00F5555E" w:rsidRDefault="00150BEE" w:rsidP="00105760">
            <w:pPr>
              <w:tabs>
                <w:tab w:val="decimal" w:pos="674"/>
              </w:tabs>
            </w:pPr>
            <w:r>
              <w:t>182,3</w:t>
            </w:r>
          </w:p>
        </w:tc>
        <w:tc>
          <w:tcPr>
            <w:tcW w:w="1874" w:type="pct"/>
            <w:tcBorders>
              <w:left w:val="single" w:sz="4" w:space="0" w:color="auto"/>
              <w:bottom w:val="single" w:sz="12" w:space="0" w:color="auto"/>
              <w:right w:val="single" w:sz="4" w:space="0" w:color="auto"/>
            </w:tcBorders>
            <w:vAlign w:val="center"/>
          </w:tcPr>
          <w:p w14:paraId="31E83516" w14:textId="77777777" w:rsidR="00150BEE" w:rsidRPr="00F5555E" w:rsidRDefault="00150BEE" w:rsidP="00105760">
            <w:r>
              <w:t>1,6</w:t>
            </w:r>
          </w:p>
        </w:tc>
        <w:tc>
          <w:tcPr>
            <w:tcW w:w="747" w:type="pct"/>
            <w:tcBorders>
              <w:top w:val="single" w:sz="4" w:space="0" w:color="auto"/>
              <w:left w:val="single" w:sz="4" w:space="0" w:color="auto"/>
              <w:bottom w:val="single" w:sz="12" w:space="0" w:color="auto"/>
              <w:right w:val="single" w:sz="4" w:space="0" w:color="auto"/>
            </w:tcBorders>
            <w:vAlign w:val="center"/>
          </w:tcPr>
          <w:p w14:paraId="3449657C" w14:textId="26FF9ED0" w:rsidR="00150BEE" w:rsidRPr="00F5555E" w:rsidRDefault="00150BEE" w:rsidP="00105760">
            <w:r>
              <w:t xml:space="preserve">    </w:t>
            </w:r>
            <w:r w:rsidR="00D91491">
              <w:t xml:space="preserve">  </w:t>
            </w:r>
            <w:r w:rsidRPr="00F5555E">
              <w:t>1</w:t>
            </w:r>
            <w:r>
              <w:t>83,9</w:t>
            </w:r>
          </w:p>
        </w:tc>
        <w:tc>
          <w:tcPr>
            <w:tcW w:w="936" w:type="pct"/>
            <w:tcBorders>
              <w:top w:val="single" w:sz="4" w:space="0" w:color="auto"/>
              <w:left w:val="single" w:sz="4" w:space="0" w:color="auto"/>
              <w:bottom w:val="single" w:sz="12" w:space="0" w:color="auto"/>
              <w:right w:val="single" w:sz="12" w:space="0" w:color="auto"/>
            </w:tcBorders>
            <w:vAlign w:val="center"/>
          </w:tcPr>
          <w:p w14:paraId="7EC70D60" w14:textId="79795FBD" w:rsidR="00150BEE" w:rsidRPr="00F5555E" w:rsidRDefault="00150BEE" w:rsidP="00105760">
            <w:pPr>
              <w:tabs>
                <w:tab w:val="decimal" w:pos="885"/>
              </w:tabs>
            </w:pPr>
            <w:r>
              <w:t>n/a</w:t>
            </w:r>
          </w:p>
        </w:tc>
      </w:tr>
    </w:tbl>
    <w:p w14:paraId="36CE5B43" w14:textId="39953B45" w:rsidR="00150BEE" w:rsidRDefault="00150BEE" w:rsidP="005150FC"/>
    <w:p w14:paraId="17EFBC53" w14:textId="77777777" w:rsidR="00CB0EFF" w:rsidRDefault="00CB0EFF" w:rsidP="005150FC"/>
    <w:p w14:paraId="71883FDF" w14:textId="77777777" w:rsidR="00CB0EFF" w:rsidRDefault="00CB0EFF" w:rsidP="005150FC"/>
    <w:p w14:paraId="2A222790" w14:textId="77777777" w:rsidR="00CB0EFF" w:rsidRDefault="00CB0EFF" w:rsidP="005150FC"/>
    <w:p w14:paraId="2643ACFC" w14:textId="77777777" w:rsidR="00CB0EFF" w:rsidRDefault="00CB0EFF" w:rsidP="005150FC"/>
    <w:p w14:paraId="5A45B722" w14:textId="77777777" w:rsidR="00CB0EFF" w:rsidRDefault="00CB0EFF" w:rsidP="005150FC"/>
    <w:p w14:paraId="4B01FC33" w14:textId="77777777" w:rsidR="00CB0EFF" w:rsidRDefault="00CB0EFF" w:rsidP="005150FC"/>
    <w:p w14:paraId="6211F27C" w14:textId="7DACF5D3" w:rsidR="00CB0EFF" w:rsidRDefault="00CB0EFF" w:rsidP="005150FC"/>
    <w:p w14:paraId="6F5FA6E5" w14:textId="77777777" w:rsidR="00C63FED" w:rsidRDefault="00C63FED" w:rsidP="005150FC"/>
    <w:p w14:paraId="7F54F2B4" w14:textId="77777777" w:rsidR="00CB0EFF" w:rsidRDefault="00CB0EFF" w:rsidP="005150FC"/>
    <w:p w14:paraId="41E0FEE5" w14:textId="77777777" w:rsidR="00CB0EFF" w:rsidRDefault="00CB0EFF" w:rsidP="005150FC"/>
    <w:p w14:paraId="63F50DA7" w14:textId="77777777" w:rsidR="00CB0EFF" w:rsidRDefault="00CB0EFF" w:rsidP="005150FC"/>
    <w:p w14:paraId="4EBB6845" w14:textId="591A6081" w:rsidR="00150BEE" w:rsidRPr="009C6EF0" w:rsidRDefault="00150BEE" w:rsidP="005150FC">
      <w:r w:rsidRPr="009C6EF0">
        <w:t>Overzicht bijdragen en ranking grootste</w:t>
      </w:r>
      <w:r>
        <w:t xml:space="preserve"> contributies</w:t>
      </w:r>
      <w:r w:rsidR="00535927">
        <w:t xml:space="preserve"> </w:t>
      </w:r>
      <w:r w:rsidRPr="009C6EF0">
        <w:t xml:space="preserve">(bedragen in </w:t>
      </w:r>
      <w:r>
        <w:t>EUR</w:t>
      </w:r>
      <w:r w:rsidRPr="009C6EF0">
        <w:t xml:space="preserve"> miljoen)</w:t>
      </w:r>
    </w:p>
    <w:p w14:paraId="41775101" w14:textId="74F2A21A" w:rsidR="00150BEE" w:rsidRPr="00132DB3" w:rsidRDefault="00150BEE" w:rsidP="00CB0EFF">
      <w:pPr>
        <w:spacing w:line="240" w:lineRule="auto"/>
        <w:rPr>
          <w:highlight w:val="yellow"/>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94"/>
        <w:gridCol w:w="1826"/>
        <w:gridCol w:w="2732"/>
        <w:gridCol w:w="2045"/>
      </w:tblGrid>
      <w:tr w:rsidR="00150BEE" w:rsidRPr="00EA44F8" w14:paraId="4A69FAD8" w14:textId="77777777" w:rsidTr="001C6E42">
        <w:tc>
          <w:tcPr>
            <w:tcW w:w="1094" w:type="dxa"/>
            <w:shd w:val="clear" w:color="auto" w:fill="auto"/>
          </w:tcPr>
          <w:p w14:paraId="4C615ADF" w14:textId="77777777" w:rsidR="00150BEE" w:rsidRPr="00535927" w:rsidRDefault="00150BEE" w:rsidP="003F0D7A">
            <w:pPr>
              <w:rPr>
                <w:b/>
              </w:rPr>
            </w:pPr>
            <w:r w:rsidRPr="00535927">
              <w:rPr>
                <w:b/>
              </w:rPr>
              <w:t>Jaar</w:t>
            </w:r>
          </w:p>
        </w:tc>
        <w:tc>
          <w:tcPr>
            <w:tcW w:w="1826" w:type="dxa"/>
            <w:shd w:val="clear" w:color="auto" w:fill="auto"/>
          </w:tcPr>
          <w:p w14:paraId="2ECB4027" w14:textId="77777777" w:rsidR="00150BEE" w:rsidRPr="00535927" w:rsidRDefault="00150BEE" w:rsidP="003F0D7A">
            <w:pPr>
              <w:rPr>
                <w:b/>
              </w:rPr>
            </w:pPr>
            <w:r w:rsidRPr="00535927">
              <w:rPr>
                <w:b/>
              </w:rPr>
              <w:t>Bijdrage</w:t>
            </w:r>
          </w:p>
        </w:tc>
        <w:tc>
          <w:tcPr>
            <w:tcW w:w="2732" w:type="dxa"/>
            <w:shd w:val="clear" w:color="auto" w:fill="auto"/>
          </w:tcPr>
          <w:p w14:paraId="7891A627" w14:textId="77777777" w:rsidR="00150BEE" w:rsidRPr="00535927" w:rsidRDefault="00150BEE" w:rsidP="003F0D7A">
            <w:pPr>
              <w:rPr>
                <w:b/>
              </w:rPr>
            </w:pPr>
            <w:r w:rsidRPr="00535927">
              <w:rPr>
                <w:b/>
              </w:rPr>
              <w:t>Ranking/donor</w:t>
            </w:r>
          </w:p>
        </w:tc>
        <w:tc>
          <w:tcPr>
            <w:tcW w:w="2045" w:type="dxa"/>
            <w:shd w:val="clear" w:color="auto" w:fill="auto"/>
          </w:tcPr>
          <w:p w14:paraId="445BCCD5" w14:textId="77777777" w:rsidR="00150BEE" w:rsidRPr="00535927" w:rsidRDefault="00150BEE" w:rsidP="003F0D7A">
            <w:pPr>
              <w:rPr>
                <w:b/>
              </w:rPr>
            </w:pPr>
            <w:r w:rsidRPr="00535927">
              <w:rPr>
                <w:b/>
              </w:rPr>
              <w:t>Bedrag</w:t>
            </w:r>
          </w:p>
        </w:tc>
      </w:tr>
      <w:tr w:rsidR="00535927" w:rsidRPr="00EA44F8" w14:paraId="2CBF4C92" w14:textId="77777777" w:rsidTr="001C6E42">
        <w:tc>
          <w:tcPr>
            <w:tcW w:w="7697" w:type="dxa"/>
            <w:gridSpan w:val="4"/>
            <w:shd w:val="clear" w:color="auto" w:fill="BFBFBF" w:themeFill="background1" w:themeFillShade="BF"/>
          </w:tcPr>
          <w:p w14:paraId="74744D1D" w14:textId="5C85B702" w:rsidR="00535927" w:rsidRPr="00535927" w:rsidRDefault="00535927" w:rsidP="00535927">
            <w:pPr>
              <w:rPr>
                <w:b/>
              </w:rPr>
            </w:pPr>
          </w:p>
        </w:tc>
      </w:tr>
      <w:tr w:rsidR="00535927" w:rsidRPr="00EA44F8" w14:paraId="3B2183AE" w14:textId="77777777" w:rsidTr="001C6E42">
        <w:tc>
          <w:tcPr>
            <w:tcW w:w="1094" w:type="dxa"/>
            <w:vMerge w:val="restart"/>
          </w:tcPr>
          <w:p w14:paraId="4B8DDDAB" w14:textId="7A44C357" w:rsidR="00535927" w:rsidRPr="00EA44F8" w:rsidRDefault="00535927" w:rsidP="00CB0EFF">
            <w:r w:rsidRPr="00EA44F8">
              <w:t>2014</w:t>
            </w:r>
          </w:p>
        </w:tc>
        <w:tc>
          <w:tcPr>
            <w:tcW w:w="1826" w:type="dxa"/>
            <w:vMerge w:val="restart"/>
          </w:tcPr>
          <w:p w14:paraId="1649006A" w14:textId="74F51CF5" w:rsidR="00535927" w:rsidRPr="00535927" w:rsidRDefault="00535927">
            <w:pPr>
              <w:rPr>
                <w:i/>
              </w:rPr>
            </w:pPr>
            <w:r w:rsidRPr="00C63FED">
              <w:rPr>
                <w:i/>
              </w:rPr>
              <w:t>Core</w:t>
            </w:r>
            <w:r w:rsidRPr="00535927">
              <w:t>-bijdrage</w:t>
            </w:r>
          </w:p>
        </w:tc>
        <w:tc>
          <w:tcPr>
            <w:tcW w:w="2732" w:type="dxa"/>
          </w:tcPr>
          <w:p w14:paraId="3109B784" w14:textId="77777777" w:rsidR="00535927" w:rsidRPr="00EA44F8" w:rsidRDefault="00535927">
            <w:r w:rsidRPr="00EA44F8">
              <w:t>1. Verenigde Staten</w:t>
            </w:r>
          </w:p>
        </w:tc>
        <w:tc>
          <w:tcPr>
            <w:tcW w:w="2045" w:type="dxa"/>
          </w:tcPr>
          <w:p w14:paraId="38964A6A" w14:textId="69A8A456" w:rsidR="00535927" w:rsidRPr="00EA44F8" w:rsidRDefault="00535927">
            <w:r w:rsidRPr="00D80C1E">
              <w:t>18,6</w:t>
            </w:r>
          </w:p>
        </w:tc>
      </w:tr>
      <w:tr w:rsidR="00535927" w:rsidRPr="00EA44F8" w14:paraId="707B423A" w14:textId="77777777" w:rsidTr="001C6E42">
        <w:tc>
          <w:tcPr>
            <w:tcW w:w="1094" w:type="dxa"/>
            <w:vMerge/>
          </w:tcPr>
          <w:p w14:paraId="50CAC298" w14:textId="77777777" w:rsidR="00535927" w:rsidRPr="00EA44F8" w:rsidRDefault="00535927"/>
        </w:tc>
        <w:tc>
          <w:tcPr>
            <w:tcW w:w="1826" w:type="dxa"/>
            <w:vMerge/>
          </w:tcPr>
          <w:p w14:paraId="0D982999" w14:textId="77777777" w:rsidR="00535927" w:rsidRPr="00EA44F8" w:rsidRDefault="00535927"/>
        </w:tc>
        <w:tc>
          <w:tcPr>
            <w:tcW w:w="2732" w:type="dxa"/>
          </w:tcPr>
          <w:p w14:paraId="21808709" w14:textId="13C11A84" w:rsidR="00535927" w:rsidRPr="00EA44F8" w:rsidRDefault="00535927">
            <w:r w:rsidRPr="00EA44F8">
              <w:t xml:space="preserve">2. Duitsland </w:t>
            </w:r>
          </w:p>
        </w:tc>
        <w:tc>
          <w:tcPr>
            <w:tcW w:w="2045" w:type="dxa"/>
          </w:tcPr>
          <w:p w14:paraId="5AC91D70" w14:textId="77B73B60" w:rsidR="00535927" w:rsidRPr="00EA44F8" w:rsidRDefault="00535927">
            <w:r w:rsidRPr="00EA44F8">
              <w:t>13,6</w:t>
            </w:r>
          </w:p>
        </w:tc>
      </w:tr>
      <w:tr w:rsidR="00535927" w:rsidRPr="00EA44F8" w14:paraId="43EC46F1" w14:textId="77777777" w:rsidTr="001C6E42">
        <w:tc>
          <w:tcPr>
            <w:tcW w:w="1094" w:type="dxa"/>
            <w:vMerge/>
          </w:tcPr>
          <w:p w14:paraId="68BECC8F" w14:textId="77777777" w:rsidR="00535927" w:rsidRPr="00EA44F8" w:rsidRDefault="00535927"/>
        </w:tc>
        <w:tc>
          <w:tcPr>
            <w:tcW w:w="1826" w:type="dxa"/>
            <w:vMerge/>
          </w:tcPr>
          <w:p w14:paraId="1A168603" w14:textId="77777777" w:rsidR="00535927" w:rsidRPr="00EA44F8" w:rsidRDefault="00535927"/>
        </w:tc>
        <w:tc>
          <w:tcPr>
            <w:tcW w:w="2732" w:type="dxa"/>
          </w:tcPr>
          <w:p w14:paraId="3F17D147" w14:textId="583B3015" w:rsidR="00535927" w:rsidRPr="00EA44F8" w:rsidRDefault="00535927">
            <w:r w:rsidRPr="00EA44F8">
              <w:t>3. China</w:t>
            </w:r>
          </w:p>
        </w:tc>
        <w:tc>
          <w:tcPr>
            <w:tcW w:w="2045" w:type="dxa"/>
          </w:tcPr>
          <w:p w14:paraId="1A27FAEE" w14:textId="44589325" w:rsidR="00535927" w:rsidRPr="00EA44F8" w:rsidRDefault="00535927">
            <w:r w:rsidRPr="00EA44F8">
              <w:t>13,2</w:t>
            </w:r>
          </w:p>
        </w:tc>
      </w:tr>
      <w:tr w:rsidR="00535927" w:rsidRPr="00EA44F8" w14:paraId="03964802" w14:textId="77777777" w:rsidTr="001C6E42">
        <w:tc>
          <w:tcPr>
            <w:tcW w:w="1094" w:type="dxa"/>
            <w:vMerge/>
          </w:tcPr>
          <w:p w14:paraId="27D36C78" w14:textId="77777777" w:rsidR="00535927" w:rsidRPr="00EA44F8" w:rsidRDefault="00535927"/>
        </w:tc>
        <w:tc>
          <w:tcPr>
            <w:tcW w:w="1826" w:type="dxa"/>
            <w:vMerge/>
          </w:tcPr>
          <w:p w14:paraId="2AC76883" w14:textId="77777777" w:rsidR="00535927" w:rsidRPr="00EA44F8" w:rsidRDefault="00535927"/>
        </w:tc>
        <w:tc>
          <w:tcPr>
            <w:tcW w:w="2732" w:type="dxa"/>
          </w:tcPr>
          <w:p w14:paraId="1F1B7340" w14:textId="77777777" w:rsidR="00535927" w:rsidRPr="00535927" w:rsidRDefault="00535927">
            <w:pPr>
              <w:rPr>
                <w:b/>
              </w:rPr>
            </w:pPr>
            <w:r w:rsidRPr="00535927">
              <w:rPr>
                <w:b/>
              </w:rPr>
              <w:t>8. Nederland</w:t>
            </w:r>
          </w:p>
        </w:tc>
        <w:tc>
          <w:tcPr>
            <w:tcW w:w="2045" w:type="dxa"/>
          </w:tcPr>
          <w:p w14:paraId="772BAF6F" w14:textId="017CB415" w:rsidR="00535927" w:rsidRPr="00EA44F8" w:rsidRDefault="00535927">
            <w:r w:rsidRPr="00EA44F8">
              <w:t>5,0</w:t>
            </w:r>
          </w:p>
        </w:tc>
      </w:tr>
      <w:tr w:rsidR="00535927" w:rsidRPr="00EA44F8" w14:paraId="3C0AA5C8" w14:textId="77777777" w:rsidTr="001C6E42">
        <w:tblPrEx>
          <w:shd w:val="clear" w:color="auto" w:fill="E7E6E6" w:themeFill="background2"/>
        </w:tblPrEx>
        <w:tc>
          <w:tcPr>
            <w:tcW w:w="7697" w:type="dxa"/>
            <w:gridSpan w:val="4"/>
            <w:shd w:val="clear" w:color="auto" w:fill="BFBFBF" w:themeFill="background1" w:themeFillShade="BF"/>
          </w:tcPr>
          <w:p w14:paraId="32FAD908" w14:textId="55AC3AFB" w:rsidR="00535927" w:rsidRPr="00EA44F8" w:rsidRDefault="00535927" w:rsidP="003F0D7A"/>
        </w:tc>
      </w:tr>
    </w:tbl>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843"/>
        <w:gridCol w:w="2689"/>
        <w:gridCol w:w="2046"/>
      </w:tblGrid>
      <w:tr w:rsidR="008579E2" w:rsidRPr="00EA44F8" w14:paraId="6DF0E957" w14:textId="43F335DB" w:rsidTr="001C6E42">
        <w:trPr>
          <w:trHeight w:val="240"/>
        </w:trPr>
        <w:tc>
          <w:tcPr>
            <w:tcW w:w="727" w:type="pct"/>
            <w:vMerge w:val="restart"/>
            <w:tcBorders>
              <w:top w:val="nil"/>
              <w:left w:val="single" w:sz="12" w:space="0" w:color="auto"/>
              <w:bottom w:val="nil"/>
              <w:right w:val="single" w:sz="4" w:space="0" w:color="auto"/>
            </w:tcBorders>
            <w:hideMark/>
          </w:tcPr>
          <w:p w14:paraId="01A017A7" w14:textId="792D9359" w:rsidR="008579E2" w:rsidRPr="00EA44F8" w:rsidRDefault="008579E2" w:rsidP="008579E2">
            <w:pPr>
              <w:rPr>
                <w:szCs w:val="18"/>
              </w:rPr>
            </w:pPr>
            <w:r w:rsidRPr="00EA44F8">
              <w:rPr>
                <w:szCs w:val="18"/>
              </w:rPr>
              <w:t>2015</w:t>
            </w:r>
          </w:p>
        </w:tc>
        <w:tc>
          <w:tcPr>
            <w:tcW w:w="1197" w:type="pct"/>
            <w:vMerge w:val="restart"/>
            <w:tcBorders>
              <w:top w:val="nil"/>
              <w:left w:val="single" w:sz="4" w:space="0" w:color="auto"/>
              <w:bottom w:val="nil"/>
              <w:right w:val="single" w:sz="4" w:space="0" w:color="auto"/>
            </w:tcBorders>
            <w:hideMark/>
          </w:tcPr>
          <w:p w14:paraId="6642B2EE" w14:textId="4A29EEC3" w:rsidR="008579E2" w:rsidRPr="00535927" w:rsidRDefault="008579E2" w:rsidP="008579E2">
            <w:pPr>
              <w:rPr>
                <w:szCs w:val="18"/>
              </w:rPr>
            </w:pPr>
            <w:r w:rsidRPr="00535927">
              <w:rPr>
                <w:i/>
                <w:szCs w:val="18"/>
              </w:rPr>
              <w:t>Core</w:t>
            </w:r>
            <w:r>
              <w:rPr>
                <w:szCs w:val="18"/>
              </w:rPr>
              <w:t>-bijdrage</w:t>
            </w:r>
          </w:p>
        </w:tc>
        <w:tc>
          <w:tcPr>
            <w:tcW w:w="1747" w:type="pct"/>
            <w:tcBorders>
              <w:top w:val="nil"/>
              <w:left w:val="single" w:sz="4" w:space="0" w:color="auto"/>
              <w:bottom w:val="single" w:sz="4" w:space="0" w:color="auto"/>
              <w:right w:val="single" w:sz="4" w:space="0" w:color="auto"/>
            </w:tcBorders>
            <w:hideMark/>
          </w:tcPr>
          <w:p w14:paraId="77A8B06A" w14:textId="197B8DCA" w:rsidR="008579E2" w:rsidRPr="00EA44F8" w:rsidRDefault="008579E2" w:rsidP="008579E2">
            <w:pPr>
              <w:rPr>
                <w:szCs w:val="18"/>
              </w:rPr>
            </w:pPr>
            <w:r w:rsidRPr="00EA44F8">
              <w:rPr>
                <w:szCs w:val="18"/>
              </w:rPr>
              <w:t>1. Verenigde Staten</w:t>
            </w:r>
          </w:p>
        </w:tc>
        <w:tc>
          <w:tcPr>
            <w:tcW w:w="1329" w:type="pct"/>
            <w:tcBorders>
              <w:top w:val="nil"/>
              <w:bottom w:val="single" w:sz="4" w:space="0" w:color="auto"/>
              <w:right w:val="single" w:sz="12" w:space="0" w:color="auto"/>
            </w:tcBorders>
          </w:tcPr>
          <w:p w14:paraId="6465E607" w14:textId="18CFB5E8" w:rsidR="008579E2" w:rsidRPr="00EA44F8" w:rsidRDefault="008579E2" w:rsidP="008579E2">
            <w:pPr>
              <w:spacing w:line="240" w:lineRule="auto"/>
            </w:pPr>
            <w:r>
              <w:t>20,3</w:t>
            </w:r>
          </w:p>
        </w:tc>
      </w:tr>
      <w:tr w:rsidR="008579E2" w:rsidRPr="00EA44F8" w14:paraId="6C889F37" w14:textId="2A1B4E41" w:rsidTr="001C6E42">
        <w:trPr>
          <w:trHeight w:val="240"/>
        </w:trPr>
        <w:tc>
          <w:tcPr>
            <w:tcW w:w="727" w:type="pct"/>
            <w:vMerge/>
            <w:tcBorders>
              <w:left w:val="single" w:sz="12" w:space="0" w:color="auto"/>
              <w:bottom w:val="nil"/>
              <w:right w:val="single" w:sz="4" w:space="0" w:color="auto"/>
            </w:tcBorders>
          </w:tcPr>
          <w:p w14:paraId="373106E2" w14:textId="77777777" w:rsidR="008579E2" w:rsidRPr="00EA44F8" w:rsidRDefault="008579E2" w:rsidP="008579E2">
            <w:pPr>
              <w:rPr>
                <w:szCs w:val="18"/>
              </w:rPr>
            </w:pPr>
          </w:p>
        </w:tc>
        <w:tc>
          <w:tcPr>
            <w:tcW w:w="1197" w:type="pct"/>
            <w:vMerge/>
            <w:tcBorders>
              <w:left w:val="single" w:sz="4" w:space="0" w:color="auto"/>
              <w:bottom w:val="nil"/>
              <w:right w:val="single" w:sz="4" w:space="0" w:color="auto"/>
            </w:tcBorders>
          </w:tcPr>
          <w:p w14:paraId="319C9E9A" w14:textId="77777777" w:rsidR="008579E2" w:rsidRPr="00EA44F8" w:rsidRDefault="008579E2" w:rsidP="008579E2">
            <w:pPr>
              <w:rPr>
                <w:szCs w:val="18"/>
              </w:rPr>
            </w:pPr>
          </w:p>
        </w:tc>
        <w:tc>
          <w:tcPr>
            <w:tcW w:w="1747" w:type="pct"/>
            <w:tcBorders>
              <w:top w:val="single" w:sz="4" w:space="0" w:color="auto"/>
              <w:left w:val="single" w:sz="4" w:space="0" w:color="auto"/>
              <w:bottom w:val="single" w:sz="4" w:space="0" w:color="auto"/>
              <w:right w:val="single" w:sz="4" w:space="0" w:color="auto"/>
            </w:tcBorders>
            <w:hideMark/>
          </w:tcPr>
          <w:p w14:paraId="1809AF81" w14:textId="417D12F8" w:rsidR="008579E2" w:rsidRPr="00EA44F8" w:rsidRDefault="008579E2" w:rsidP="008579E2">
            <w:pPr>
              <w:rPr>
                <w:szCs w:val="18"/>
              </w:rPr>
            </w:pPr>
            <w:r w:rsidRPr="00EA44F8">
              <w:rPr>
                <w:szCs w:val="18"/>
              </w:rPr>
              <w:t>2. China</w:t>
            </w:r>
          </w:p>
        </w:tc>
        <w:tc>
          <w:tcPr>
            <w:tcW w:w="1329" w:type="pct"/>
            <w:tcBorders>
              <w:bottom w:val="single" w:sz="4" w:space="0" w:color="auto"/>
              <w:right w:val="single" w:sz="12" w:space="0" w:color="auto"/>
            </w:tcBorders>
          </w:tcPr>
          <w:p w14:paraId="7495E85B" w14:textId="6E90AE63" w:rsidR="008579E2" w:rsidRPr="00EA44F8" w:rsidRDefault="008579E2" w:rsidP="008579E2">
            <w:pPr>
              <w:spacing w:line="240" w:lineRule="auto"/>
            </w:pPr>
            <w:r>
              <w:t>15,5</w:t>
            </w:r>
          </w:p>
        </w:tc>
      </w:tr>
      <w:tr w:rsidR="008579E2" w:rsidRPr="00EA44F8" w14:paraId="7DBD998B" w14:textId="32B2808A" w:rsidTr="001C6E42">
        <w:trPr>
          <w:trHeight w:val="240"/>
        </w:trPr>
        <w:tc>
          <w:tcPr>
            <w:tcW w:w="727" w:type="pct"/>
            <w:vMerge/>
            <w:tcBorders>
              <w:left w:val="single" w:sz="12" w:space="0" w:color="auto"/>
              <w:bottom w:val="nil"/>
              <w:right w:val="single" w:sz="4" w:space="0" w:color="auto"/>
            </w:tcBorders>
          </w:tcPr>
          <w:p w14:paraId="1F346A95" w14:textId="113A6B35" w:rsidR="008579E2" w:rsidRPr="00EA44F8" w:rsidRDefault="008579E2" w:rsidP="008579E2">
            <w:pPr>
              <w:rPr>
                <w:szCs w:val="18"/>
              </w:rPr>
            </w:pPr>
          </w:p>
        </w:tc>
        <w:tc>
          <w:tcPr>
            <w:tcW w:w="1197" w:type="pct"/>
            <w:vMerge/>
            <w:tcBorders>
              <w:left w:val="single" w:sz="4" w:space="0" w:color="auto"/>
              <w:bottom w:val="nil"/>
              <w:right w:val="single" w:sz="4" w:space="0" w:color="auto"/>
            </w:tcBorders>
          </w:tcPr>
          <w:p w14:paraId="38E9979E" w14:textId="77777777" w:rsidR="008579E2" w:rsidRPr="00EA44F8" w:rsidRDefault="008579E2" w:rsidP="008579E2">
            <w:pPr>
              <w:rPr>
                <w:szCs w:val="18"/>
              </w:rPr>
            </w:pPr>
          </w:p>
        </w:tc>
        <w:tc>
          <w:tcPr>
            <w:tcW w:w="1747" w:type="pct"/>
            <w:tcBorders>
              <w:top w:val="single" w:sz="4" w:space="0" w:color="auto"/>
              <w:left w:val="single" w:sz="4" w:space="0" w:color="auto"/>
              <w:bottom w:val="single" w:sz="4" w:space="0" w:color="auto"/>
              <w:right w:val="single" w:sz="4" w:space="0" w:color="auto"/>
            </w:tcBorders>
          </w:tcPr>
          <w:p w14:paraId="746A58CB" w14:textId="49D12D6D" w:rsidR="008579E2" w:rsidRPr="00EA44F8" w:rsidRDefault="008579E2" w:rsidP="008579E2">
            <w:pPr>
              <w:rPr>
                <w:szCs w:val="18"/>
              </w:rPr>
            </w:pPr>
            <w:r w:rsidRPr="00EA44F8">
              <w:rPr>
                <w:szCs w:val="18"/>
              </w:rPr>
              <w:t>3. Duitsland</w:t>
            </w:r>
          </w:p>
        </w:tc>
        <w:tc>
          <w:tcPr>
            <w:tcW w:w="1329" w:type="pct"/>
            <w:tcBorders>
              <w:bottom w:val="single" w:sz="4" w:space="0" w:color="auto"/>
              <w:right w:val="single" w:sz="12" w:space="0" w:color="auto"/>
            </w:tcBorders>
          </w:tcPr>
          <w:p w14:paraId="04F9F0D3" w14:textId="3B65F7ED" w:rsidR="008579E2" w:rsidRPr="00EA44F8" w:rsidRDefault="008579E2" w:rsidP="008579E2">
            <w:pPr>
              <w:spacing w:line="240" w:lineRule="auto"/>
            </w:pPr>
            <w:r>
              <w:t>14,7</w:t>
            </w:r>
          </w:p>
        </w:tc>
      </w:tr>
      <w:tr w:rsidR="008579E2" w:rsidRPr="00A87C35" w14:paraId="771A68CD" w14:textId="0AD0D42B" w:rsidTr="001C6E42">
        <w:trPr>
          <w:trHeight w:val="240"/>
        </w:trPr>
        <w:tc>
          <w:tcPr>
            <w:tcW w:w="727" w:type="pct"/>
            <w:vMerge/>
            <w:tcBorders>
              <w:left w:val="single" w:sz="12" w:space="0" w:color="auto"/>
              <w:bottom w:val="nil"/>
              <w:right w:val="single" w:sz="4" w:space="0" w:color="auto"/>
            </w:tcBorders>
          </w:tcPr>
          <w:p w14:paraId="552253AC" w14:textId="77777777" w:rsidR="008579E2" w:rsidRPr="00EA44F8" w:rsidRDefault="008579E2" w:rsidP="008579E2">
            <w:pPr>
              <w:rPr>
                <w:szCs w:val="18"/>
              </w:rPr>
            </w:pPr>
          </w:p>
        </w:tc>
        <w:tc>
          <w:tcPr>
            <w:tcW w:w="1197" w:type="pct"/>
            <w:vMerge/>
            <w:tcBorders>
              <w:left w:val="single" w:sz="4" w:space="0" w:color="auto"/>
              <w:bottom w:val="nil"/>
              <w:right w:val="single" w:sz="4" w:space="0" w:color="auto"/>
            </w:tcBorders>
          </w:tcPr>
          <w:p w14:paraId="436536B3" w14:textId="77777777" w:rsidR="008579E2" w:rsidRPr="00EA44F8" w:rsidRDefault="008579E2" w:rsidP="008579E2">
            <w:pPr>
              <w:rPr>
                <w:szCs w:val="18"/>
              </w:rPr>
            </w:pPr>
          </w:p>
        </w:tc>
        <w:tc>
          <w:tcPr>
            <w:tcW w:w="1747" w:type="pct"/>
            <w:tcBorders>
              <w:top w:val="single" w:sz="4" w:space="0" w:color="auto"/>
              <w:left w:val="single" w:sz="4" w:space="0" w:color="auto"/>
              <w:bottom w:val="nil"/>
              <w:right w:val="single" w:sz="4" w:space="0" w:color="auto"/>
            </w:tcBorders>
            <w:hideMark/>
          </w:tcPr>
          <w:p w14:paraId="7AE096AF" w14:textId="3A494732" w:rsidR="008579E2" w:rsidRPr="00535927" w:rsidRDefault="008579E2" w:rsidP="008579E2">
            <w:pPr>
              <w:rPr>
                <w:b/>
                <w:szCs w:val="18"/>
              </w:rPr>
            </w:pPr>
            <w:r w:rsidRPr="00535927">
              <w:rPr>
                <w:b/>
                <w:szCs w:val="18"/>
              </w:rPr>
              <w:t>8. Nederland</w:t>
            </w:r>
          </w:p>
        </w:tc>
        <w:tc>
          <w:tcPr>
            <w:tcW w:w="1329" w:type="pct"/>
            <w:tcBorders>
              <w:bottom w:val="nil"/>
              <w:right w:val="single" w:sz="12" w:space="0" w:color="auto"/>
            </w:tcBorders>
          </w:tcPr>
          <w:p w14:paraId="08681CD0" w14:textId="5E421F68" w:rsidR="008579E2" w:rsidRPr="00A87C35" w:rsidRDefault="008579E2" w:rsidP="008579E2">
            <w:pPr>
              <w:spacing w:line="240" w:lineRule="auto"/>
            </w:pPr>
            <w:r>
              <w:t>5,2</w:t>
            </w:r>
          </w:p>
        </w:tc>
      </w:tr>
    </w:tbl>
    <w:tbl>
      <w:tblPr>
        <w:tblStyle w:val="TableGrid"/>
        <w:tblW w:w="0" w:type="auto"/>
        <w:tblLook w:val="04A0" w:firstRow="1" w:lastRow="0" w:firstColumn="1" w:lastColumn="0" w:noHBand="0" w:noVBand="1"/>
      </w:tblPr>
      <w:tblGrid>
        <w:gridCol w:w="1091"/>
        <w:gridCol w:w="1822"/>
        <w:gridCol w:w="2739"/>
        <w:gridCol w:w="2045"/>
      </w:tblGrid>
      <w:tr w:rsidR="00535927" w:rsidRPr="00083AB0" w14:paraId="435D23B8" w14:textId="77777777" w:rsidTr="00D91491">
        <w:tc>
          <w:tcPr>
            <w:tcW w:w="7717" w:type="dxa"/>
            <w:gridSpan w:val="4"/>
            <w:tcBorders>
              <w:left w:val="single" w:sz="12" w:space="0" w:color="auto"/>
              <w:bottom w:val="single" w:sz="4" w:space="0" w:color="auto"/>
              <w:right w:val="single" w:sz="12" w:space="0" w:color="auto"/>
            </w:tcBorders>
            <w:shd w:val="clear" w:color="auto" w:fill="BFBFBF" w:themeFill="background1" w:themeFillShade="BF"/>
          </w:tcPr>
          <w:p w14:paraId="2199F25C" w14:textId="2F7BBD66" w:rsidR="00535927" w:rsidRPr="00083AB0" w:rsidRDefault="00535927" w:rsidP="003F0D7A"/>
        </w:tc>
      </w:tr>
      <w:tr w:rsidR="00535927" w14:paraId="1ADE9A48" w14:textId="77777777" w:rsidTr="00D91491">
        <w:tc>
          <w:tcPr>
            <w:tcW w:w="1093" w:type="dxa"/>
            <w:vMerge w:val="restart"/>
            <w:tcBorders>
              <w:left w:val="single" w:sz="12" w:space="0" w:color="auto"/>
            </w:tcBorders>
          </w:tcPr>
          <w:p w14:paraId="48058E78" w14:textId="77777777" w:rsidR="00535927" w:rsidRDefault="00535927">
            <w:r>
              <w:t>2016</w:t>
            </w:r>
          </w:p>
        </w:tc>
        <w:tc>
          <w:tcPr>
            <w:tcW w:w="1826" w:type="dxa"/>
            <w:vMerge w:val="restart"/>
          </w:tcPr>
          <w:p w14:paraId="11CE8F23" w14:textId="46561CD6" w:rsidR="00535927" w:rsidRPr="00535927" w:rsidRDefault="00535927">
            <w:pPr>
              <w:rPr>
                <w:i/>
              </w:rPr>
            </w:pPr>
            <w:r w:rsidRPr="00535927">
              <w:rPr>
                <w:i/>
              </w:rPr>
              <w:t>Core</w:t>
            </w:r>
            <w:r>
              <w:t>-bijdrage</w:t>
            </w:r>
          </w:p>
        </w:tc>
        <w:tc>
          <w:tcPr>
            <w:tcW w:w="2746" w:type="dxa"/>
          </w:tcPr>
          <w:p w14:paraId="2A53EDC0" w14:textId="77777777" w:rsidR="00535927" w:rsidRPr="00132DB3" w:rsidRDefault="00535927">
            <w:r w:rsidRPr="00132DB3">
              <w:t>1. Verenigde Staten</w:t>
            </w:r>
          </w:p>
        </w:tc>
        <w:tc>
          <w:tcPr>
            <w:tcW w:w="2052" w:type="dxa"/>
            <w:tcBorders>
              <w:right w:val="single" w:sz="12" w:space="0" w:color="auto"/>
            </w:tcBorders>
          </w:tcPr>
          <w:p w14:paraId="7D88873B" w14:textId="1689BB22" w:rsidR="00535927" w:rsidRPr="00132DB3" w:rsidRDefault="00535927">
            <w:r w:rsidRPr="00132DB3">
              <w:t>20,4</w:t>
            </w:r>
          </w:p>
        </w:tc>
      </w:tr>
      <w:tr w:rsidR="00535927" w14:paraId="1F8B81E6" w14:textId="77777777" w:rsidTr="00D91491">
        <w:tc>
          <w:tcPr>
            <w:tcW w:w="1093" w:type="dxa"/>
            <w:vMerge/>
            <w:tcBorders>
              <w:left w:val="single" w:sz="12" w:space="0" w:color="auto"/>
            </w:tcBorders>
          </w:tcPr>
          <w:p w14:paraId="56A2B0BB" w14:textId="77777777" w:rsidR="00535927" w:rsidRDefault="00535927"/>
        </w:tc>
        <w:tc>
          <w:tcPr>
            <w:tcW w:w="1826" w:type="dxa"/>
            <w:vMerge/>
          </w:tcPr>
          <w:p w14:paraId="4E9F8A28" w14:textId="77777777" w:rsidR="00535927" w:rsidRDefault="00535927"/>
        </w:tc>
        <w:tc>
          <w:tcPr>
            <w:tcW w:w="2746" w:type="dxa"/>
          </w:tcPr>
          <w:p w14:paraId="55FB5D99" w14:textId="77777777" w:rsidR="00535927" w:rsidRPr="00132DB3" w:rsidRDefault="00535927">
            <w:r w:rsidRPr="00132DB3">
              <w:t>2. China</w:t>
            </w:r>
          </w:p>
        </w:tc>
        <w:tc>
          <w:tcPr>
            <w:tcW w:w="2052" w:type="dxa"/>
            <w:tcBorders>
              <w:right w:val="single" w:sz="12" w:space="0" w:color="auto"/>
            </w:tcBorders>
          </w:tcPr>
          <w:p w14:paraId="671EB4E8" w14:textId="4C5627A6" w:rsidR="00535927" w:rsidRPr="00132DB3" w:rsidRDefault="00535927" w:rsidP="00132DB3">
            <w:r w:rsidRPr="00132DB3">
              <w:t>16,7</w:t>
            </w:r>
          </w:p>
        </w:tc>
      </w:tr>
      <w:tr w:rsidR="00535927" w14:paraId="1B9D248E" w14:textId="77777777" w:rsidTr="00D91491">
        <w:tc>
          <w:tcPr>
            <w:tcW w:w="1093" w:type="dxa"/>
            <w:vMerge/>
            <w:tcBorders>
              <w:left w:val="single" w:sz="12" w:space="0" w:color="auto"/>
            </w:tcBorders>
          </w:tcPr>
          <w:p w14:paraId="4A462429" w14:textId="77777777" w:rsidR="00535927" w:rsidRDefault="00535927"/>
        </w:tc>
        <w:tc>
          <w:tcPr>
            <w:tcW w:w="1826" w:type="dxa"/>
            <w:vMerge/>
          </w:tcPr>
          <w:p w14:paraId="7FE628AF" w14:textId="77777777" w:rsidR="00535927" w:rsidRDefault="00535927"/>
        </w:tc>
        <w:tc>
          <w:tcPr>
            <w:tcW w:w="2746" w:type="dxa"/>
          </w:tcPr>
          <w:p w14:paraId="3BB3C214" w14:textId="42E54DB0" w:rsidR="00535927" w:rsidRPr="00132DB3" w:rsidRDefault="00535927" w:rsidP="00277660">
            <w:r w:rsidRPr="00132DB3">
              <w:t>3. Duitsland</w:t>
            </w:r>
          </w:p>
        </w:tc>
        <w:tc>
          <w:tcPr>
            <w:tcW w:w="2052" w:type="dxa"/>
            <w:tcBorders>
              <w:right w:val="single" w:sz="12" w:space="0" w:color="auto"/>
            </w:tcBorders>
          </w:tcPr>
          <w:p w14:paraId="7A294085" w14:textId="3F9AB6AE" w:rsidR="00535927" w:rsidRPr="00132DB3" w:rsidRDefault="00535927">
            <w:r w:rsidRPr="00132DB3">
              <w:t>13,8</w:t>
            </w:r>
          </w:p>
        </w:tc>
      </w:tr>
      <w:tr w:rsidR="00535927" w14:paraId="33D3D314" w14:textId="77777777" w:rsidTr="00D91491">
        <w:tc>
          <w:tcPr>
            <w:tcW w:w="1093" w:type="dxa"/>
            <w:vMerge/>
            <w:tcBorders>
              <w:left w:val="single" w:sz="12" w:space="0" w:color="auto"/>
              <w:bottom w:val="single" w:sz="12" w:space="0" w:color="auto"/>
            </w:tcBorders>
          </w:tcPr>
          <w:p w14:paraId="476F20DC" w14:textId="77777777" w:rsidR="00535927" w:rsidRDefault="00535927"/>
        </w:tc>
        <w:tc>
          <w:tcPr>
            <w:tcW w:w="1826" w:type="dxa"/>
            <w:vMerge/>
            <w:tcBorders>
              <w:bottom w:val="single" w:sz="12" w:space="0" w:color="auto"/>
            </w:tcBorders>
          </w:tcPr>
          <w:p w14:paraId="4FA49026" w14:textId="77777777" w:rsidR="00535927" w:rsidRDefault="00535927"/>
        </w:tc>
        <w:tc>
          <w:tcPr>
            <w:tcW w:w="2746" w:type="dxa"/>
            <w:tcBorders>
              <w:bottom w:val="single" w:sz="12" w:space="0" w:color="auto"/>
            </w:tcBorders>
          </w:tcPr>
          <w:p w14:paraId="170DA8CA" w14:textId="77777777" w:rsidR="00535927" w:rsidRPr="00535927" w:rsidRDefault="00535927">
            <w:pPr>
              <w:rPr>
                <w:b/>
              </w:rPr>
            </w:pPr>
            <w:r w:rsidRPr="00535927">
              <w:rPr>
                <w:b/>
              </w:rPr>
              <w:t>8. Nederland</w:t>
            </w:r>
          </w:p>
        </w:tc>
        <w:tc>
          <w:tcPr>
            <w:tcW w:w="2052" w:type="dxa"/>
            <w:tcBorders>
              <w:bottom w:val="single" w:sz="12" w:space="0" w:color="auto"/>
              <w:right w:val="single" w:sz="12" w:space="0" w:color="auto"/>
            </w:tcBorders>
          </w:tcPr>
          <w:p w14:paraId="70A26595" w14:textId="2E294185" w:rsidR="00535927" w:rsidRPr="00132DB3" w:rsidRDefault="00535927" w:rsidP="00132DB3">
            <w:r w:rsidRPr="00132DB3">
              <w:t>5,3</w:t>
            </w:r>
          </w:p>
        </w:tc>
      </w:tr>
    </w:tbl>
    <w:p w14:paraId="4BDD5049" w14:textId="77777777" w:rsidR="00150BEE" w:rsidRDefault="00150BEE" w:rsidP="00B95FC2">
      <w:pPr>
        <w:rPr>
          <w:szCs w:val="18"/>
        </w:rPr>
      </w:pPr>
    </w:p>
    <w:p w14:paraId="6BC2B661" w14:textId="295F1621" w:rsidR="00150BEE" w:rsidRDefault="00150BEE" w:rsidP="00B95FC2">
      <w:pPr>
        <w:rPr>
          <w:szCs w:val="18"/>
        </w:rPr>
      </w:pPr>
      <w:r w:rsidRPr="001269F6">
        <w:rPr>
          <w:szCs w:val="18"/>
          <w:u w:val="single"/>
        </w:rPr>
        <w:t>Technische assistentie</w:t>
      </w:r>
    </w:p>
    <w:p w14:paraId="45F8333F" w14:textId="28AC0EDB" w:rsidR="00150BEE" w:rsidRPr="008706CB" w:rsidRDefault="00150BEE" w:rsidP="00B95FC2">
      <w:pPr>
        <w:rPr>
          <w:rFonts w:cs="Akzidenz Grotesk BE Light"/>
          <w:color w:val="221E1F"/>
          <w:szCs w:val="18"/>
        </w:rPr>
      </w:pPr>
      <w:r w:rsidRPr="004E466E" w:rsidDel="00EA44F8">
        <w:rPr>
          <w:szCs w:val="18"/>
        </w:rPr>
        <w:t xml:space="preserve">De WTO-programma’s </w:t>
      </w:r>
      <w:r w:rsidRPr="004E466E" w:rsidDel="00EA44F8">
        <w:rPr>
          <w:rStyle w:val="A6"/>
          <w:sz w:val="18"/>
          <w:szCs w:val="18"/>
        </w:rPr>
        <w:t xml:space="preserve">voor technische assistentie worden gefinancierd uit twee bronnen: het reguliere </w:t>
      </w:r>
      <w:r w:rsidRPr="008706CB" w:rsidDel="00EA44F8">
        <w:rPr>
          <w:rStyle w:val="A6"/>
          <w:sz w:val="18"/>
          <w:szCs w:val="18"/>
        </w:rPr>
        <w:t xml:space="preserve">WTO-budget en vrijwillige bijdragen van bepaalde WTO-leden. </w:t>
      </w:r>
      <w:r w:rsidRPr="008706CB">
        <w:rPr>
          <w:rStyle w:val="A6"/>
          <w:sz w:val="18"/>
          <w:szCs w:val="18"/>
        </w:rPr>
        <w:t xml:space="preserve">De totale kosten van de technische-assistentieprogramma’s van de WTO zijn ongeveer 17,5 miljoen euro, waarvan ongeveer 4.5 miljoen uit het reguliere WTO-budget en 13 miljoen uit vrijwillige bijdragen. </w:t>
      </w:r>
      <w:r w:rsidRPr="008706CB">
        <w:rPr>
          <w:rFonts w:cs="Akzidenz Grotesk BE Light"/>
          <w:color w:val="221E1F"/>
          <w:szCs w:val="18"/>
        </w:rPr>
        <w:t>Ook Nederland draagt vrijwillig bij.</w:t>
      </w:r>
    </w:p>
    <w:p w14:paraId="5DD1D73D" w14:textId="77777777" w:rsidR="00150BEE" w:rsidRPr="008706CB" w:rsidRDefault="00150BEE" w:rsidP="006C5350">
      <w:pPr>
        <w:rPr>
          <w:szCs w:val="18"/>
        </w:rPr>
      </w:pPr>
    </w:p>
    <w:p w14:paraId="061D4310" w14:textId="5F0C2219" w:rsidR="00150BEE" w:rsidRPr="008706CB" w:rsidRDefault="00150BEE" w:rsidP="00B95FC2">
      <w:pPr>
        <w:rPr>
          <w:szCs w:val="18"/>
        </w:rPr>
      </w:pPr>
      <w:r w:rsidRPr="008706CB">
        <w:rPr>
          <w:szCs w:val="18"/>
        </w:rPr>
        <w:t>Overzicht bijdragen en ranking grootste donoren</w:t>
      </w:r>
      <w:r w:rsidR="00CB0EFF" w:rsidRPr="008706CB">
        <w:rPr>
          <w:szCs w:val="18"/>
        </w:rPr>
        <w:t xml:space="preserve"> </w:t>
      </w:r>
      <w:r w:rsidRPr="008706CB">
        <w:rPr>
          <w:szCs w:val="18"/>
        </w:rPr>
        <w:t>(bedragen in EUR miljoen)</w:t>
      </w:r>
    </w:p>
    <w:p w14:paraId="12DE9BC7" w14:textId="54EEE48B" w:rsidR="00150BEE" w:rsidRPr="008706CB" w:rsidRDefault="00150BEE" w:rsidP="00B95FC2">
      <w:pPr>
        <w:rPr>
          <w:rFonts w:cs="Akzidenz Grotesk BE Light"/>
          <w:color w:val="221E1F"/>
          <w:szCs w:val="18"/>
        </w:rPr>
      </w:pPr>
    </w:p>
    <w:p w14:paraId="32A2B206" w14:textId="2C3AF7E0" w:rsidR="001C6E42" w:rsidRDefault="00150BEE" w:rsidP="00B95FC2">
      <w:pPr>
        <w:rPr>
          <w:rFonts w:cs="Akzidenz Grotesk BE Light"/>
          <w:i/>
          <w:color w:val="221E1F"/>
          <w:szCs w:val="18"/>
          <w:lang w:val="en-US"/>
        </w:rPr>
      </w:pPr>
      <w:r w:rsidRPr="008706CB">
        <w:rPr>
          <w:rFonts w:cs="Akzidenz Grotesk BE Light"/>
          <w:i/>
          <w:color w:val="221E1F"/>
          <w:szCs w:val="18"/>
          <w:lang w:val="en-US"/>
        </w:rPr>
        <w:t>Doha Development Agenda Global Trust Fund (Chair’s programme)</w:t>
      </w:r>
    </w:p>
    <w:p w14:paraId="6D4409E4" w14:textId="77777777" w:rsidR="008706CB" w:rsidRPr="008706CB" w:rsidRDefault="008706CB" w:rsidP="00B95FC2">
      <w:pPr>
        <w:rPr>
          <w:rFonts w:cs="Akzidenz Grotesk BE Light"/>
          <w:i/>
          <w:color w:val="221E1F"/>
          <w:szCs w:val="18"/>
          <w:lang w:val="en-US"/>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70"/>
        <w:gridCol w:w="28"/>
        <w:gridCol w:w="2814"/>
        <w:gridCol w:w="1965"/>
      </w:tblGrid>
      <w:tr w:rsidR="00150BEE" w:rsidRPr="004F6AC7" w14:paraId="6408CF1C" w14:textId="77777777" w:rsidTr="00687CFF">
        <w:tc>
          <w:tcPr>
            <w:tcW w:w="2870" w:type="dxa"/>
            <w:shd w:val="clear" w:color="auto" w:fill="auto"/>
          </w:tcPr>
          <w:p w14:paraId="196ECE29" w14:textId="61B6F954" w:rsidR="00150BEE" w:rsidRPr="008579E2" w:rsidRDefault="00150BEE" w:rsidP="00B95FC2">
            <w:pPr>
              <w:rPr>
                <w:rFonts w:cs="Akzidenz Grotesk BE Light"/>
                <w:b/>
                <w:color w:val="221E1F"/>
                <w:szCs w:val="18"/>
                <w:lang w:val="en-US"/>
              </w:rPr>
            </w:pPr>
            <w:r w:rsidRPr="008579E2">
              <w:rPr>
                <w:rFonts w:cs="Akzidenz Grotesk BE Light"/>
                <w:b/>
                <w:color w:val="221E1F"/>
                <w:szCs w:val="18"/>
                <w:lang w:val="en-US"/>
              </w:rPr>
              <w:t>Jaar</w:t>
            </w:r>
          </w:p>
        </w:tc>
        <w:tc>
          <w:tcPr>
            <w:tcW w:w="2842" w:type="dxa"/>
            <w:gridSpan w:val="2"/>
            <w:shd w:val="clear" w:color="auto" w:fill="auto"/>
          </w:tcPr>
          <w:p w14:paraId="4AE7BBA2" w14:textId="71E78CE3" w:rsidR="00150BEE" w:rsidRPr="008579E2" w:rsidRDefault="00150BEE" w:rsidP="00B95FC2">
            <w:pPr>
              <w:rPr>
                <w:rFonts w:cs="Akzidenz Grotesk BE Light"/>
                <w:b/>
                <w:color w:val="221E1F"/>
                <w:szCs w:val="18"/>
                <w:lang w:val="en-US"/>
              </w:rPr>
            </w:pPr>
            <w:r w:rsidRPr="00C63FED">
              <w:rPr>
                <w:rFonts w:cs="Akzidenz Grotesk BE Light"/>
                <w:b/>
                <w:i/>
                <w:color w:val="221E1F"/>
                <w:szCs w:val="18"/>
                <w:lang w:val="en-US"/>
              </w:rPr>
              <w:t>Ranking</w:t>
            </w:r>
            <w:r w:rsidRPr="008579E2">
              <w:rPr>
                <w:rFonts w:cs="Akzidenz Grotesk BE Light"/>
                <w:b/>
                <w:color w:val="221E1F"/>
                <w:szCs w:val="18"/>
                <w:lang w:val="en-US"/>
              </w:rPr>
              <w:t>/donor</w:t>
            </w:r>
          </w:p>
        </w:tc>
        <w:tc>
          <w:tcPr>
            <w:tcW w:w="1965" w:type="dxa"/>
            <w:shd w:val="clear" w:color="auto" w:fill="auto"/>
          </w:tcPr>
          <w:p w14:paraId="37160D4B" w14:textId="01497FD3" w:rsidR="00150BEE" w:rsidRPr="008579E2" w:rsidRDefault="00150BEE" w:rsidP="00B95FC2">
            <w:pPr>
              <w:rPr>
                <w:rFonts w:cs="Akzidenz Grotesk BE Light"/>
                <w:b/>
                <w:color w:val="221E1F"/>
                <w:szCs w:val="18"/>
                <w:lang w:val="en-US"/>
              </w:rPr>
            </w:pPr>
            <w:r w:rsidRPr="008579E2">
              <w:rPr>
                <w:rFonts w:cs="Akzidenz Grotesk BE Light"/>
                <w:b/>
                <w:color w:val="221E1F"/>
                <w:szCs w:val="18"/>
                <w:lang w:val="en-US"/>
              </w:rPr>
              <w:t>Bedrag</w:t>
            </w:r>
          </w:p>
        </w:tc>
      </w:tr>
      <w:tr w:rsidR="008579E2" w:rsidRPr="004F6AC7" w14:paraId="4DB91C38" w14:textId="77777777" w:rsidTr="00687CFF">
        <w:tc>
          <w:tcPr>
            <w:tcW w:w="7677" w:type="dxa"/>
            <w:gridSpan w:val="4"/>
            <w:shd w:val="clear" w:color="auto" w:fill="BFBFBF" w:themeFill="background1" w:themeFillShade="BF"/>
          </w:tcPr>
          <w:p w14:paraId="79CD22B3" w14:textId="1EB1AB58" w:rsidR="008579E2" w:rsidRPr="008579E2" w:rsidRDefault="008579E2" w:rsidP="00B95FC2">
            <w:pPr>
              <w:rPr>
                <w:rFonts w:cs="Akzidenz Grotesk BE Light"/>
                <w:b/>
                <w:color w:val="221E1F"/>
                <w:szCs w:val="18"/>
                <w:lang w:val="en-US"/>
              </w:rPr>
            </w:pPr>
          </w:p>
        </w:tc>
      </w:tr>
      <w:tr w:rsidR="008579E2" w:rsidRPr="004F6AC7" w14:paraId="1ED41AF0" w14:textId="77777777" w:rsidTr="00687CFF">
        <w:tc>
          <w:tcPr>
            <w:tcW w:w="2870" w:type="dxa"/>
            <w:vMerge w:val="restart"/>
          </w:tcPr>
          <w:p w14:paraId="40FE4F58" w14:textId="6FF61AB1" w:rsidR="008579E2" w:rsidRPr="004F6AC7" w:rsidRDefault="008579E2" w:rsidP="00B95FC2">
            <w:pPr>
              <w:rPr>
                <w:rFonts w:cs="Akzidenz Grotesk BE Light"/>
                <w:color w:val="221E1F"/>
                <w:szCs w:val="18"/>
                <w:lang w:val="en-US"/>
              </w:rPr>
            </w:pPr>
            <w:r w:rsidRPr="004F6AC7">
              <w:rPr>
                <w:rFonts w:cs="Akzidenz Grotesk BE Light"/>
                <w:color w:val="221E1F"/>
                <w:szCs w:val="18"/>
                <w:lang w:val="en-US"/>
              </w:rPr>
              <w:t>2014</w:t>
            </w:r>
          </w:p>
        </w:tc>
        <w:tc>
          <w:tcPr>
            <w:tcW w:w="2842" w:type="dxa"/>
            <w:gridSpan w:val="2"/>
          </w:tcPr>
          <w:p w14:paraId="7736CB91" w14:textId="374CFF7E" w:rsidR="008579E2" w:rsidRPr="008579E2" w:rsidRDefault="008579E2" w:rsidP="008579E2">
            <w:pPr>
              <w:rPr>
                <w:rFonts w:cs="Akzidenz Grotesk BE Light"/>
                <w:color w:val="221E1F"/>
                <w:szCs w:val="18"/>
                <w:lang w:val="en-US"/>
              </w:rPr>
            </w:pPr>
            <w:r w:rsidRPr="008579E2">
              <w:rPr>
                <w:rFonts w:cs="Akzidenz Grotesk BE Light"/>
                <w:color w:val="221E1F"/>
                <w:szCs w:val="18"/>
                <w:lang w:val="en-US"/>
              </w:rPr>
              <w:t>1.</w:t>
            </w:r>
            <w:r>
              <w:rPr>
                <w:lang w:val="en-US"/>
              </w:rPr>
              <w:t xml:space="preserve"> </w:t>
            </w:r>
            <w:r w:rsidRPr="008579E2">
              <w:rPr>
                <w:rFonts w:cs="Akzidenz Grotesk BE Light"/>
                <w:color w:val="221E1F"/>
                <w:szCs w:val="18"/>
                <w:lang w:val="en-US"/>
              </w:rPr>
              <w:t>Noorwegen</w:t>
            </w:r>
          </w:p>
        </w:tc>
        <w:tc>
          <w:tcPr>
            <w:tcW w:w="1965" w:type="dxa"/>
          </w:tcPr>
          <w:p w14:paraId="0C2C6966" w14:textId="46041788" w:rsidR="008579E2" w:rsidRPr="004F6AC7" w:rsidRDefault="008579E2" w:rsidP="00B95FC2">
            <w:pPr>
              <w:rPr>
                <w:rFonts w:cs="Akzidenz Grotesk BE Light"/>
                <w:color w:val="221E1F"/>
                <w:szCs w:val="18"/>
                <w:lang w:val="en-US"/>
              </w:rPr>
            </w:pPr>
            <w:r w:rsidRPr="004F6AC7">
              <w:rPr>
                <w:rFonts w:cs="Akzidenz Grotesk BE Light"/>
                <w:color w:val="221E1F"/>
                <w:szCs w:val="18"/>
                <w:lang w:val="en-US"/>
              </w:rPr>
              <w:t>1,8</w:t>
            </w:r>
          </w:p>
        </w:tc>
      </w:tr>
      <w:tr w:rsidR="008579E2" w:rsidRPr="004F6AC7" w14:paraId="12B75E43" w14:textId="77777777" w:rsidTr="00687CFF">
        <w:tc>
          <w:tcPr>
            <w:tcW w:w="2870" w:type="dxa"/>
            <w:vMerge/>
          </w:tcPr>
          <w:p w14:paraId="4A1A3B75" w14:textId="77777777" w:rsidR="008579E2" w:rsidRPr="004F6AC7" w:rsidRDefault="008579E2" w:rsidP="00B95FC2">
            <w:pPr>
              <w:rPr>
                <w:rFonts w:cs="Akzidenz Grotesk BE Light"/>
                <w:color w:val="221E1F"/>
                <w:szCs w:val="18"/>
                <w:lang w:val="en-US"/>
              </w:rPr>
            </w:pPr>
          </w:p>
        </w:tc>
        <w:tc>
          <w:tcPr>
            <w:tcW w:w="2842" w:type="dxa"/>
            <w:gridSpan w:val="2"/>
          </w:tcPr>
          <w:p w14:paraId="6B67E246" w14:textId="184F3E20" w:rsidR="008579E2" w:rsidRPr="008579E2" w:rsidRDefault="008579E2" w:rsidP="008579E2">
            <w:pPr>
              <w:rPr>
                <w:rFonts w:cs="Akzidenz Grotesk BE Light"/>
                <w:color w:val="221E1F"/>
                <w:szCs w:val="18"/>
              </w:rPr>
            </w:pPr>
            <w:r w:rsidRPr="008579E2">
              <w:t xml:space="preserve">2. </w:t>
            </w:r>
            <w:r w:rsidRPr="008579E2">
              <w:rPr>
                <w:rFonts w:cs="Akzidenz Grotesk BE Light"/>
                <w:color w:val="221E1F"/>
                <w:szCs w:val="18"/>
              </w:rPr>
              <w:t>Duitsland</w:t>
            </w:r>
          </w:p>
        </w:tc>
        <w:tc>
          <w:tcPr>
            <w:tcW w:w="1965" w:type="dxa"/>
          </w:tcPr>
          <w:p w14:paraId="0B60916B" w14:textId="1D18A605" w:rsidR="008579E2" w:rsidRPr="008579E2" w:rsidRDefault="008579E2" w:rsidP="00B95FC2">
            <w:pPr>
              <w:rPr>
                <w:rFonts w:cs="Akzidenz Grotesk BE Light"/>
                <w:color w:val="221E1F"/>
                <w:szCs w:val="18"/>
              </w:rPr>
            </w:pPr>
            <w:r w:rsidRPr="008579E2">
              <w:rPr>
                <w:rFonts w:cs="Akzidenz Grotesk BE Light"/>
                <w:color w:val="221E1F"/>
                <w:szCs w:val="18"/>
              </w:rPr>
              <w:t>1,0</w:t>
            </w:r>
          </w:p>
        </w:tc>
      </w:tr>
      <w:tr w:rsidR="008579E2" w:rsidRPr="004F6AC7" w14:paraId="0E179CC0" w14:textId="77777777" w:rsidTr="00687CFF">
        <w:tc>
          <w:tcPr>
            <w:tcW w:w="2870" w:type="dxa"/>
            <w:vMerge/>
          </w:tcPr>
          <w:p w14:paraId="1FA7E025" w14:textId="77777777" w:rsidR="008579E2" w:rsidRPr="008579E2" w:rsidRDefault="008579E2" w:rsidP="00B95FC2">
            <w:pPr>
              <w:rPr>
                <w:rFonts w:cs="Akzidenz Grotesk BE Light"/>
                <w:color w:val="221E1F"/>
                <w:szCs w:val="18"/>
              </w:rPr>
            </w:pPr>
          </w:p>
        </w:tc>
        <w:tc>
          <w:tcPr>
            <w:tcW w:w="2842" w:type="dxa"/>
            <w:gridSpan w:val="2"/>
          </w:tcPr>
          <w:p w14:paraId="064EC0F0" w14:textId="75BE5220" w:rsidR="008579E2" w:rsidRPr="008579E2" w:rsidRDefault="008579E2" w:rsidP="008579E2">
            <w:pPr>
              <w:rPr>
                <w:rFonts w:cs="Akzidenz Grotesk BE Light"/>
                <w:color w:val="221E1F"/>
                <w:szCs w:val="18"/>
              </w:rPr>
            </w:pPr>
            <w:r>
              <w:t xml:space="preserve">3. </w:t>
            </w:r>
            <w:r w:rsidRPr="008579E2">
              <w:rPr>
                <w:rFonts w:cs="Akzidenz Grotesk BE Light"/>
                <w:color w:val="221E1F"/>
                <w:szCs w:val="18"/>
              </w:rPr>
              <w:t>Verenigde Staten</w:t>
            </w:r>
          </w:p>
        </w:tc>
        <w:tc>
          <w:tcPr>
            <w:tcW w:w="1965" w:type="dxa"/>
          </w:tcPr>
          <w:p w14:paraId="164C7455" w14:textId="2A41337A" w:rsidR="008579E2" w:rsidRPr="008579E2" w:rsidRDefault="008579E2" w:rsidP="00B95FC2">
            <w:pPr>
              <w:rPr>
                <w:rFonts w:cs="Akzidenz Grotesk BE Light"/>
                <w:color w:val="221E1F"/>
                <w:szCs w:val="18"/>
              </w:rPr>
            </w:pPr>
            <w:r w:rsidRPr="008579E2">
              <w:rPr>
                <w:rFonts w:cs="Akzidenz Grotesk BE Light"/>
                <w:color w:val="221E1F"/>
                <w:szCs w:val="18"/>
              </w:rPr>
              <w:t>0,9</w:t>
            </w:r>
          </w:p>
        </w:tc>
      </w:tr>
      <w:tr w:rsidR="008579E2" w:rsidRPr="004F6AC7" w14:paraId="45834351" w14:textId="77777777" w:rsidTr="00687CFF">
        <w:tc>
          <w:tcPr>
            <w:tcW w:w="2870" w:type="dxa"/>
            <w:vMerge/>
          </w:tcPr>
          <w:p w14:paraId="3AE52A3F" w14:textId="77777777" w:rsidR="008579E2" w:rsidRPr="008579E2" w:rsidRDefault="008579E2" w:rsidP="00B95FC2">
            <w:pPr>
              <w:rPr>
                <w:rFonts w:cs="Akzidenz Grotesk BE Light"/>
                <w:color w:val="221E1F"/>
                <w:szCs w:val="18"/>
              </w:rPr>
            </w:pPr>
          </w:p>
        </w:tc>
        <w:tc>
          <w:tcPr>
            <w:tcW w:w="2842" w:type="dxa"/>
            <w:gridSpan w:val="2"/>
          </w:tcPr>
          <w:p w14:paraId="04928B15" w14:textId="3DB3ABFE" w:rsidR="008579E2" w:rsidRPr="008579E2" w:rsidRDefault="008579E2" w:rsidP="008579E2">
            <w:pPr>
              <w:rPr>
                <w:rFonts w:cs="Akzidenz Grotesk BE Light"/>
                <w:b/>
                <w:color w:val="221E1F"/>
                <w:szCs w:val="18"/>
              </w:rPr>
            </w:pPr>
            <w:r w:rsidRPr="008579E2">
              <w:rPr>
                <w:b/>
              </w:rPr>
              <w:t xml:space="preserve">4. </w:t>
            </w:r>
            <w:r w:rsidRPr="008579E2">
              <w:rPr>
                <w:rFonts w:cs="Akzidenz Grotesk BE Light"/>
                <w:b/>
                <w:color w:val="221E1F"/>
                <w:szCs w:val="18"/>
              </w:rPr>
              <w:t xml:space="preserve">Nederland </w:t>
            </w:r>
          </w:p>
        </w:tc>
        <w:tc>
          <w:tcPr>
            <w:tcW w:w="1965" w:type="dxa"/>
          </w:tcPr>
          <w:p w14:paraId="04EE5017" w14:textId="2E7851D5" w:rsidR="008579E2" w:rsidRPr="008579E2" w:rsidRDefault="008579E2" w:rsidP="00B95FC2">
            <w:pPr>
              <w:rPr>
                <w:rFonts w:cs="Akzidenz Grotesk BE Light"/>
                <w:color w:val="221E1F"/>
                <w:szCs w:val="18"/>
              </w:rPr>
            </w:pPr>
            <w:r w:rsidRPr="008579E2">
              <w:rPr>
                <w:rFonts w:cs="Akzidenz Grotesk BE Light"/>
                <w:color w:val="221E1F"/>
                <w:szCs w:val="18"/>
              </w:rPr>
              <w:t>0,7</w:t>
            </w:r>
          </w:p>
        </w:tc>
      </w:tr>
      <w:tr w:rsidR="008579E2" w:rsidRPr="004F6AC7" w14:paraId="515723DC" w14:textId="77777777" w:rsidTr="00687CFF">
        <w:tc>
          <w:tcPr>
            <w:tcW w:w="7677" w:type="dxa"/>
            <w:gridSpan w:val="4"/>
            <w:shd w:val="clear" w:color="auto" w:fill="BFBFBF" w:themeFill="background1" w:themeFillShade="BF"/>
          </w:tcPr>
          <w:p w14:paraId="15ED72BB" w14:textId="10810AD9" w:rsidR="008579E2" w:rsidRPr="008579E2" w:rsidRDefault="008579E2" w:rsidP="008579E2">
            <w:pPr>
              <w:rPr>
                <w:rFonts w:cs="Akzidenz Grotesk BE Light"/>
                <w:color w:val="221E1F"/>
                <w:szCs w:val="18"/>
              </w:rPr>
            </w:pPr>
          </w:p>
        </w:tc>
      </w:tr>
      <w:tr w:rsidR="008579E2" w:rsidRPr="004F6AC7" w14:paraId="391C82A3" w14:textId="77777777" w:rsidTr="00687CFF">
        <w:tc>
          <w:tcPr>
            <w:tcW w:w="2898" w:type="dxa"/>
            <w:gridSpan w:val="2"/>
            <w:vMerge w:val="restart"/>
          </w:tcPr>
          <w:p w14:paraId="1707840B" w14:textId="593CA507" w:rsidR="008579E2" w:rsidRPr="008579E2" w:rsidRDefault="008579E2" w:rsidP="0012785D">
            <w:pPr>
              <w:rPr>
                <w:rFonts w:cs="Akzidenz Grotesk BE Light"/>
                <w:color w:val="221E1F"/>
                <w:szCs w:val="18"/>
              </w:rPr>
            </w:pPr>
            <w:r w:rsidRPr="008579E2">
              <w:rPr>
                <w:rFonts w:cs="Akzidenz Grotesk BE Light"/>
                <w:color w:val="221E1F"/>
                <w:szCs w:val="18"/>
              </w:rPr>
              <w:t>2015</w:t>
            </w:r>
          </w:p>
        </w:tc>
        <w:tc>
          <w:tcPr>
            <w:tcW w:w="2814" w:type="dxa"/>
          </w:tcPr>
          <w:p w14:paraId="16615AA9" w14:textId="370C8A94" w:rsidR="008579E2" w:rsidRPr="008579E2" w:rsidRDefault="008579E2" w:rsidP="008579E2">
            <w:pPr>
              <w:rPr>
                <w:rFonts w:cs="Akzidenz Grotesk BE Light"/>
                <w:color w:val="221E1F"/>
                <w:szCs w:val="18"/>
              </w:rPr>
            </w:pPr>
            <w:r>
              <w:t xml:space="preserve">1. </w:t>
            </w:r>
            <w:r w:rsidRPr="008579E2">
              <w:rPr>
                <w:rFonts w:cs="Akzidenz Grotesk BE Light"/>
                <w:color w:val="221E1F"/>
                <w:szCs w:val="18"/>
              </w:rPr>
              <w:t>Australië</w:t>
            </w:r>
          </w:p>
        </w:tc>
        <w:tc>
          <w:tcPr>
            <w:tcW w:w="1965" w:type="dxa"/>
          </w:tcPr>
          <w:p w14:paraId="2FDFD5DE" w14:textId="36B07CCB" w:rsidR="008579E2" w:rsidRPr="008579E2" w:rsidRDefault="008579E2" w:rsidP="0012785D">
            <w:pPr>
              <w:rPr>
                <w:rFonts w:cs="Akzidenz Grotesk BE Light"/>
                <w:color w:val="221E1F"/>
                <w:szCs w:val="18"/>
              </w:rPr>
            </w:pPr>
            <w:r w:rsidRPr="008579E2">
              <w:rPr>
                <w:rFonts w:cs="Akzidenz Grotesk BE Light"/>
                <w:color w:val="221E1F"/>
                <w:szCs w:val="18"/>
              </w:rPr>
              <w:t>2,0</w:t>
            </w:r>
          </w:p>
        </w:tc>
      </w:tr>
      <w:tr w:rsidR="008579E2" w:rsidRPr="004F6AC7" w14:paraId="3467043F" w14:textId="77777777" w:rsidTr="00687CFF">
        <w:tc>
          <w:tcPr>
            <w:tcW w:w="2898" w:type="dxa"/>
            <w:gridSpan w:val="2"/>
            <w:vMerge/>
          </w:tcPr>
          <w:p w14:paraId="15CC6AA7" w14:textId="77777777" w:rsidR="008579E2" w:rsidRPr="008579E2" w:rsidRDefault="008579E2" w:rsidP="0012785D">
            <w:pPr>
              <w:rPr>
                <w:rFonts w:cs="Akzidenz Grotesk BE Light"/>
                <w:color w:val="221E1F"/>
                <w:szCs w:val="18"/>
              </w:rPr>
            </w:pPr>
          </w:p>
        </w:tc>
        <w:tc>
          <w:tcPr>
            <w:tcW w:w="2814" w:type="dxa"/>
          </w:tcPr>
          <w:p w14:paraId="5E244E6D" w14:textId="1563F0C6" w:rsidR="008579E2" w:rsidRPr="008579E2" w:rsidRDefault="008579E2" w:rsidP="008579E2">
            <w:pPr>
              <w:rPr>
                <w:rFonts w:cs="Akzidenz Grotesk BE Light"/>
                <w:color w:val="221E1F"/>
                <w:szCs w:val="18"/>
              </w:rPr>
            </w:pPr>
            <w:r>
              <w:t xml:space="preserve">2. </w:t>
            </w:r>
            <w:r w:rsidRPr="008579E2">
              <w:rPr>
                <w:rFonts w:cs="Akzidenz Grotesk BE Light"/>
                <w:color w:val="221E1F"/>
                <w:szCs w:val="18"/>
              </w:rPr>
              <w:t>Europese Unie</w:t>
            </w:r>
          </w:p>
        </w:tc>
        <w:tc>
          <w:tcPr>
            <w:tcW w:w="1965" w:type="dxa"/>
          </w:tcPr>
          <w:p w14:paraId="31E1898F" w14:textId="10AF7AA8" w:rsidR="008579E2" w:rsidRPr="008579E2" w:rsidRDefault="008579E2" w:rsidP="0012785D">
            <w:pPr>
              <w:rPr>
                <w:rFonts w:cs="Akzidenz Grotesk BE Light"/>
                <w:color w:val="221E1F"/>
                <w:szCs w:val="18"/>
              </w:rPr>
            </w:pPr>
            <w:r w:rsidRPr="008579E2">
              <w:rPr>
                <w:rFonts w:cs="Akzidenz Grotesk BE Light"/>
                <w:color w:val="221E1F"/>
                <w:szCs w:val="18"/>
              </w:rPr>
              <w:t>1,5</w:t>
            </w:r>
          </w:p>
        </w:tc>
      </w:tr>
      <w:tr w:rsidR="008579E2" w:rsidRPr="004F6AC7" w14:paraId="593DFD7E" w14:textId="77777777" w:rsidTr="00687CFF">
        <w:tc>
          <w:tcPr>
            <w:tcW w:w="2898" w:type="dxa"/>
            <w:gridSpan w:val="2"/>
            <w:vMerge/>
          </w:tcPr>
          <w:p w14:paraId="6F1AC1CC" w14:textId="77777777" w:rsidR="008579E2" w:rsidRPr="008579E2" w:rsidRDefault="008579E2" w:rsidP="0012785D">
            <w:pPr>
              <w:rPr>
                <w:rFonts w:cs="Akzidenz Grotesk BE Light"/>
                <w:color w:val="221E1F"/>
                <w:szCs w:val="18"/>
              </w:rPr>
            </w:pPr>
          </w:p>
        </w:tc>
        <w:tc>
          <w:tcPr>
            <w:tcW w:w="2814" w:type="dxa"/>
          </w:tcPr>
          <w:p w14:paraId="708991F0" w14:textId="2E4E73C1" w:rsidR="008579E2" w:rsidRPr="008579E2" w:rsidRDefault="008579E2" w:rsidP="008579E2">
            <w:pPr>
              <w:rPr>
                <w:rFonts w:cs="Akzidenz Grotesk BE Light"/>
                <w:color w:val="221E1F"/>
                <w:szCs w:val="18"/>
              </w:rPr>
            </w:pPr>
            <w:r>
              <w:t xml:space="preserve">3. </w:t>
            </w:r>
            <w:r w:rsidRPr="008579E2">
              <w:rPr>
                <w:rFonts w:cs="Akzidenz Grotesk BE Light"/>
                <w:color w:val="221E1F"/>
                <w:szCs w:val="18"/>
              </w:rPr>
              <w:t>Duitsland</w:t>
            </w:r>
          </w:p>
        </w:tc>
        <w:tc>
          <w:tcPr>
            <w:tcW w:w="1965" w:type="dxa"/>
          </w:tcPr>
          <w:p w14:paraId="68B09481" w14:textId="01D377F8" w:rsidR="008579E2" w:rsidRPr="008579E2" w:rsidRDefault="008579E2" w:rsidP="0012785D">
            <w:pPr>
              <w:rPr>
                <w:rFonts w:cs="Akzidenz Grotesk BE Light"/>
                <w:color w:val="221E1F"/>
                <w:szCs w:val="18"/>
              </w:rPr>
            </w:pPr>
            <w:r w:rsidRPr="008579E2">
              <w:rPr>
                <w:rFonts w:cs="Akzidenz Grotesk BE Light"/>
                <w:color w:val="221E1F"/>
                <w:szCs w:val="18"/>
              </w:rPr>
              <w:t>1,1</w:t>
            </w:r>
          </w:p>
        </w:tc>
      </w:tr>
      <w:tr w:rsidR="008579E2" w:rsidRPr="004F6AC7" w14:paraId="338704CA" w14:textId="77777777" w:rsidTr="00687CFF">
        <w:tc>
          <w:tcPr>
            <w:tcW w:w="2898" w:type="dxa"/>
            <w:gridSpan w:val="2"/>
            <w:vMerge/>
          </w:tcPr>
          <w:p w14:paraId="3A32A271" w14:textId="77777777" w:rsidR="008579E2" w:rsidRPr="008579E2" w:rsidRDefault="008579E2" w:rsidP="0012785D">
            <w:pPr>
              <w:rPr>
                <w:rFonts w:cs="Akzidenz Grotesk BE Light"/>
                <w:color w:val="221E1F"/>
                <w:szCs w:val="18"/>
              </w:rPr>
            </w:pPr>
          </w:p>
        </w:tc>
        <w:tc>
          <w:tcPr>
            <w:tcW w:w="2814" w:type="dxa"/>
          </w:tcPr>
          <w:p w14:paraId="438E9075" w14:textId="333D995C" w:rsidR="008579E2" w:rsidRPr="008579E2" w:rsidRDefault="008579E2" w:rsidP="008579E2">
            <w:pPr>
              <w:rPr>
                <w:rFonts w:cs="Akzidenz Grotesk BE Light"/>
                <w:b/>
                <w:color w:val="221E1F"/>
                <w:szCs w:val="18"/>
              </w:rPr>
            </w:pPr>
            <w:r w:rsidRPr="008579E2">
              <w:rPr>
                <w:b/>
              </w:rPr>
              <w:t xml:space="preserve">6. </w:t>
            </w:r>
            <w:r w:rsidRPr="008579E2">
              <w:rPr>
                <w:rFonts w:cs="Akzidenz Grotesk BE Light"/>
                <w:b/>
                <w:color w:val="221E1F"/>
                <w:szCs w:val="18"/>
              </w:rPr>
              <w:t xml:space="preserve">Nederland </w:t>
            </w:r>
          </w:p>
        </w:tc>
        <w:tc>
          <w:tcPr>
            <w:tcW w:w="1965" w:type="dxa"/>
          </w:tcPr>
          <w:p w14:paraId="4F48B650" w14:textId="1032A42A" w:rsidR="008579E2" w:rsidRPr="008579E2" w:rsidRDefault="008579E2" w:rsidP="0012785D">
            <w:pPr>
              <w:rPr>
                <w:rFonts w:cs="Akzidenz Grotesk BE Light"/>
                <w:color w:val="221E1F"/>
                <w:szCs w:val="18"/>
              </w:rPr>
            </w:pPr>
            <w:r w:rsidRPr="008579E2">
              <w:rPr>
                <w:rFonts w:cs="Akzidenz Grotesk BE Light"/>
                <w:color w:val="221E1F"/>
                <w:szCs w:val="18"/>
              </w:rPr>
              <w:t>0,5</w:t>
            </w:r>
          </w:p>
        </w:tc>
      </w:tr>
      <w:tr w:rsidR="008579E2" w:rsidRPr="004F6AC7" w14:paraId="2BA25782" w14:textId="77777777" w:rsidTr="00687CFF">
        <w:tc>
          <w:tcPr>
            <w:tcW w:w="7677" w:type="dxa"/>
            <w:gridSpan w:val="4"/>
            <w:shd w:val="clear" w:color="auto" w:fill="BFBFBF" w:themeFill="background1" w:themeFillShade="BF"/>
          </w:tcPr>
          <w:p w14:paraId="53A63DEC" w14:textId="48CB345A" w:rsidR="008579E2" w:rsidRPr="008579E2" w:rsidRDefault="008579E2" w:rsidP="0012785D">
            <w:pPr>
              <w:rPr>
                <w:rFonts w:cs="Akzidenz Grotesk BE Light"/>
                <w:color w:val="221E1F"/>
                <w:szCs w:val="18"/>
              </w:rPr>
            </w:pPr>
          </w:p>
        </w:tc>
      </w:tr>
      <w:tr w:rsidR="008579E2" w:rsidRPr="004F6AC7" w14:paraId="169A8010" w14:textId="77777777" w:rsidTr="00687CFF">
        <w:tc>
          <w:tcPr>
            <w:tcW w:w="2898" w:type="dxa"/>
            <w:gridSpan w:val="2"/>
            <w:vMerge w:val="restart"/>
          </w:tcPr>
          <w:p w14:paraId="0E03E8BA" w14:textId="1CCA75E0" w:rsidR="008579E2" w:rsidRPr="004F6AC7" w:rsidRDefault="008579E2" w:rsidP="0012785D">
            <w:pPr>
              <w:rPr>
                <w:rFonts w:cs="Akzidenz Grotesk BE Light"/>
                <w:color w:val="221E1F"/>
                <w:szCs w:val="18"/>
                <w:lang w:val="en-US"/>
              </w:rPr>
            </w:pPr>
            <w:r w:rsidRPr="004F6AC7">
              <w:rPr>
                <w:rFonts w:cs="Akzidenz Grotesk BE Light"/>
                <w:color w:val="221E1F"/>
                <w:szCs w:val="18"/>
                <w:lang w:val="en-US"/>
              </w:rPr>
              <w:t>2016</w:t>
            </w:r>
          </w:p>
        </w:tc>
        <w:tc>
          <w:tcPr>
            <w:tcW w:w="2814" w:type="dxa"/>
          </w:tcPr>
          <w:p w14:paraId="4703DA85" w14:textId="67BF1C2C" w:rsidR="008579E2" w:rsidRPr="008579E2" w:rsidRDefault="008579E2" w:rsidP="008579E2">
            <w:pPr>
              <w:rPr>
                <w:rFonts w:cs="Akzidenz Grotesk BE Light"/>
                <w:color w:val="221E1F"/>
                <w:szCs w:val="18"/>
              </w:rPr>
            </w:pPr>
            <w:r w:rsidRPr="008579E2">
              <w:t xml:space="preserve">1. </w:t>
            </w:r>
            <w:r w:rsidRPr="008579E2">
              <w:rPr>
                <w:rFonts w:cs="Akzidenz Grotesk BE Light"/>
                <w:color w:val="221E1F"/>
                <w:szCs w:val="18"/>
              </w:rPr>
              <w:t>Europese Unie</w:t>
            </w:r>
          </w:p>
        </w:tc>
        <w:tc>
          <w:tcPr>
            <w:tcW w:w="1965" w:type="dxa"/>
          </w:tcPr>
          <w:p w14:paraId="79E30DEF" w14:textId="3F13718A" w:rsidR="008579E2" w:rsidRPr="008579E2" w:rsidRDefault="008579E2" w:rsidP="0012785D">
            <w:pPr>
              <w:rPr>
                <w:rFonts w:cs="Akzidenz Grotesk BE Light"/>
                <w:color w:val="221E1F"/>
                <w:szCs w:val="18"/>
              </w:rPr>
            </w:pPr>
            <w:r w:rsidRPr="008579E2">
              <w:rPr>
                <w:rFonts w:cs="Akzidenz Grotesk BE Light"/>
                <w:color w:val="221E1F"/>
                <w:szCs w:val="18"/>
              </w:rPr>
              <w:t>1,2</w:t>
            </w:r>
          </w:p>
        </w:tc>
      </w:tr>
      <w:tr w:rsidR="008579E2" w:rsidRPr="004F6AC7" w14:paraId="43708BBE" w14:textId="77777777" w:rsidTr="00687CFF">
        <w:tc>
          <w:tcPr>
            <w:tcW w:w="2898" w:type="dxa"/>
            <w:gridSpan w:val="2"/>
            <w:vMerge/>
          </w:tcPr>
          <w:p w14:paraId="402FB191" w14:textId="77777777" w:rsidR="008579E2" w:rsidRPr="008579E2" w:rsidRDefault="008579E2" w:rsidP="0012785D">
            <w:pPr>
              <w:rPr>
                <w:rFonts w:cs="Akzidenz Grotesk BE Light"/>
                <w:color w:val="221E1F"/>
                <w:szCs w:val="18"/>
              </w:rPr>
            </w:pPr>
          </w:p>
        </w:tc>
        <w:tc>
          <w:tcPr>
            <w:tcW w:w="2814" w:type="dxa"/>
          </w:tcPr>
          <w:p w14:paraId="00BBD3A8" w14:textId="04D0685A" w:rsidR="008579E2" w:rsidRPr="008579E2" w:rsidRDefault="008579E2" w:rsidP="008579E2">
            <w:pPr>
              <w:rPr>
                <w:rFonts w:cs="Akzidenz Grotesk BE Light"/>
                <w:color w:val="221E1F"/>
                <w:szCs w:val="18"/>
              </w:rPr>
            </w:pPr>
            <w:r>
              <w:t xml:space="preserve">2. </w:t>
            </w:r>
            <w:r w:rsidRPr="008579E2">
              <w:rPr>
                <w:rFonts w:cs="Akzidenz Grotesk BE Light"/>
                <w:color w:val="221E1F"/>
                <w:szCs w:val="18"/>
              </w:rPr>
              <w:t>Zweden</w:t>
            </w:r>
          </w:p>
        </w:tc>
        <w:tc>
          <w:tcPr>
            <w:tcW w:w="1965" w:type="dxa"/>
          </w:tcPr>
          <w:p w14:paraId="40B38E8D" w14:textId="6F067DCD" w:rsidR="008579E2" w:rsidRPr="008579E2" w:rsidRDefault="008579E2" w:rsidP="0012785D">
            <w:pPr>
              <w:rPr>
                <w:rFonts w:cs="Akzidenz Grotesk BE Light"/>
                <w:color w:val="221E1F"/>
                <w:szCs w:val="18"/>
              </w:rPr>
            </w:pPr>
            <w:r w:rsidRPr="008579E2">
              <w:rPr>
                <w:rFonts w:cs="Akzidenz Grotesk BE Light"/>
                <w:color w:val="221E1F"/>
                <w:szCs w:val="18"/>
              </w:rPr>
              <w:t>1,2</w:t>
            </w:r>
          </w:p>
        </w:tc>
      </w:tr>
      <w:tr w:rsidR="008579E2" w:rsidRPr="004F6AC7" w14:paraId="45986096" w14:textId="77777777" w:rsidTr="00687CFF">
        <w:tc>
          <w:tcPr>
            <w:tcW w:w="2898" w:type="dxa"/>
            <w:gridSpan w:val="2"/>
            <w:vMerge/>
          </w:tcPr>
          <w:p w14:paraId="4FADD921" w14:textId="77777777" w:rsidR="008579E2" w:rsidRPr="008579E2" w:rsidRDefault="008579E2" w:rsidP="0012785D">
            <w:pPr>
              <w:rPr>
                <w:rFonts w:cs="Akzidenz Grotesk BE Light"/>
                <w:color w:val="221E1F"/>
                <w:szCs w:val="18"/>
              </w:rPr>
            </w:pPr>
          </w:p>
        </w:tc>
        <w:tc>
          <w:tcPr>
            <w:tcW w:w="2814" w:type="dxa"/>
          </w:tcPr>
          <w:p w14:paraId="5B6FB069" w14:textId="4F0B164C" w:rsidR="008579E2" w:rsidRPr="008579E2" w:rsidRDefault="008579E2" w:rsidP="008579E2">
            <w:pPr>
              <w:rPr>
                <w:rFonts w:cs="Akzidenz Grotesk BE Light"/>
                <w:color w:val="221E1F"/>
                <w:szCs w:val="18"/>
              </w:rPr>
            </w:pPr>
            <w:r>
              <w:t xml:space="preserve">3. </w:t>
            </w:r>
            <w:r w:rsidRPr="008579E2">
              <w:rPr>
                <w:rFonts w:cs="Akzidenz Grotesk BE Light"/>
                <w:color w:val="221E1F"/>
                <w:szCs w:val="18"/>
              </w:rPr>
              <w:t>Noorwegen</w:t>
            </w:r>
          </w:p>
        </w:tc>
        <w:tc>
          <w:tcPr>
            <w:tcW w:w="1965" w:type="dxa"/>
          </w:tcPr>
          <w:p w14:paraId="66CF9BC9" w14:textId="133A0766" w:rsidR="008579E2" w:rsidRPr="008579E2" w:rsidRDefault="008579E2" w:rsidP="0012785D">
            <w:pPr>
              <w:rPr>
                <w:rFonts w:cs="Akzidenz Grotesk BE Light"/>
                <w:color w:val="221E1F"/>
                <w:szCs w:val="18"/>
              </w:rPr>
            </w:pPr>
            <w:r w:rsidRPr="008579E2">
              <w:rPr>
                <w:rFonts w:cs="Akzidenz Grotesk BE Light"/>
                <w:color w:val="221E1F"/>
                <w:szCs w:val="18"/>
              </w:rPr>
              <w:t>1,1</w:t>
            </w:r>
          </w:p>
        </w:tc>
      </w:tr>
      <w:tr w:rsidR="008579E2" w:rsidRPr="004F6AC7" w14:paraId="4B663427" w14:textId="77777777" w:rsidTr="00687CFF">
        <w:tc>
          <w:tcPr>
            <w:tcW w:w="2898" w:type="dxa"/>
            <w:gridSpan w:val="2"/>
            <w:vMerge/>
          </w:tcPr>
          <w:p w14:paraId="01BE29EC" w14:textId="77777777" w:rsidR="008579E2" w:rsidRPr="008579E2" w:rsidRDefault="008579E2" w:rsidP="0012785D">
            <w:pPr>
              <w:rPr>
                <w:rFonts w:cs="Akzidenz Grotesk BE Light"/>
                <w:color w:val="221E1F"/>
                <w:szCs w:val="18"/>
              </w:rPr>
            </w:pPr>
          </w:p>
        </w:tc>
        <w:tc>
          <w:tcPr>
            <w:tcW w:w="2814" w:type="dxa"/>
          </w:tcPr>
          <w:p w14:paraId="775AE486" w14:textId="739A3A23" w:rsidR="008579E2" w:rsidRPr="008579E2" w:rsidRDefault="008579E2" w:rsidP="008579E2">
            <w:pPr>
              <w:rPr>
                <w:rFonts w:cs="Akzidenz Grotesk BE Light"/>
                <w:b/>
                <w:color w:val="221E1F"/>
                <w:szCs w:val="18"/>
              </w:rPr>
            </w:pPr>
            <w:r>
              <w:t xml:space="preserve">6. </w:t>
            </w:r>
            <w:r w:rsidRPr="008579E2">
              <w:rPr>
                <w:rFonts w:cs="Akzidenz Grotesk BE Light"/>
                <w:b/>
                <w:color w:val="221E1F"/>
                <w:szCs w:val="18"/>
              </w:rPr>
              <w:t xml:space="preserve">Nederland </w:t>
            </w:r>
          </w:p>
        </w:tc>
        <w:tc>
          <w:tcPr>
            <w:tcW w:w="1965" w:type="dxa"/>
          </w:tcPr>
          <w:p w14:paraId="74FDE5CF" w14:textId="691FB5C8" w:rsidR="008579E2" w:rsidRPr="008579E2" w:rsidRDefault="008579E2" w:rsidP="0012785D">
            <w:pPr>
              <w:rPr>
                <w:rFonts w:cs="Akzidenz Grotesk BE Light"/>
                <w:color w:val="221E1F"/>
                <w:szCs w:val="18"/>
              </w:rPr>
            </w:pPr>
            <w:r w:rsidRPr="008579E2">
              <w:rPr>
                <w:rFonts w:cs="Akzidenz Grotesk BE Light"/>
                <w:color w:val="221E1F"/>
                <w:szCs w:val="18"/>
              </w:rPr>
              <w:t>0,5</w:t>
            </w:r>
          </w:p>
        </w:tc>
      </w:tr>
    </w:tbl>
    <w:p w14:paraId="7D376351" w14:textId="20332CC3" w:rsidR="00150BEE" w:rsidRDefault="00150BEE" w:rsidP="00C76D4B">
      <w:pPr>
        <w:spacing w:line="240" w:lineRule="auto"/>
        <w:rPr>
          <w:rFonts w:cs="Akzidenz Grotesk BE Light"/>
          <w:color w:val="221E1F"/>
          <w:szCs w:val="18"/>
        </w:rPr>
      </w:pPr>
    </w:p>
    <w:p w14:paraId="6648F520" w14:textId="4C8F35EB" w:rsidR="001C6E42" w:rsidRDefault="001C6E42" w:rsidP="00C76D4B">
      <w:pPr>
        <w:spacing w:line="240" w:lineRule="auto"/>
        <w:rPr>
          <w:rFonts w:cs="Akzidenz Grotesk BE Light"/>
          <w:color w:val="221E1F"/>
          <w:szCs w:val="18"/>
        </w:rPr>
      </w:pPr>
    </w:p>
    <w:p w14:paraId="2D146698" w14:textId="5E41700A" w:rsidR="001C6E42" w:rsidRDefault="001C6E42" w:rsidP="00C76D4B">
      <w:pPr>
        <w:spacing w:line="240" w:lineRule="auto"/>
        <w:rPr>
          <w:rFonts w:cs="Akzidenz Grotesk BE Light"/>
          <w:color w:val="221E1F"/>
          <w:szCs w:val="18"/>
        </w:rPr>
      </w:pPr>
    </w:p>
    <w:p w14:paraId="0F740EDF" w14:textId="77777777" w:rsidR="001C6E42" w:rsidRDefault="001C6E42" w:rsidP="00C76D4B">
      <w:pPr>
        <w:spacing w:line="240" w:lineRule="auto"/>
        <w:rPr>
          <w:rFonts w:cs="Akzidenz Grotesk BE Light"/>
          <w:color w:val="221E1F"/>
          <w:szCs w:val="18"/>
        </w:rPr>
      </w:pPr>
    </w:p>
    <w:p w14:paraId="33161D12" w14:textId="77777777" w:rsidR="001C6E42" w:rsidRPr="008579E2" w:rsidRDefault="001C6E42" w:rsidP="00C76D4B">
      <w:pPr>
        <w:spacing w:line="240" w:lineRule="auto"/>
        <w:rPr>
          <w:rFonts w:cs="Akzidenz Grotesk BE Light"/>
          <w:color w:val="221E1F"/>
          <w:szCs w:val="18"/>
        </w:rPr>
      </w:pPr>
    </w:p>
    <w:p w14:paraId="7581BA30" w14:textId="753E6E3A" w:rsidR="001C6E42" w:rsidRDefault="00150BEE" w:rsidP="00C76D4B">
      <w:pPr>
        <w:spacing w:line="240" w:lineRule="auto"/>
        <w:rPr>
          <w:rFonts w:cs="Akzidenz Grotesk BE Light"/>
          <w:i/>
          <w:color w:val="221E1F"/>
          <w:szCs w:val="18"/>
        </w:rPr>
      </w:pPr>
      <w:r w:rsidRPr="00466CA1">
        <w:rPr>
          <w:rFonts w:cs="Akzidenz Grotesk BE Light"/>
          <w:i/>
          <w:color w:val="221E1F"/>
          <w:szCs w:val="18"/>
        </w:rPr>
        <w:t>Netherlands Trainee programme</w:t>
      </w:r>
    </w:p>
    <w:p w14:paraId="7717A267" w14:textId="77777777" w:rsidR="008706CB" w:rsidRPr="00466CA1" w:rsidRDefault="008706CB" w:rsidP="00C76D4B">
      <w:pPr>
        <w:spacing w:line="240" w:lineRule="auto"/>
        <w:rPr>
          <w:rFonts w:cs="Akzidenz Grotesk BE Light"/>
          <w:i/>
          <w:color w:val="221E1F"/>
          <w:szCs w:val="18"/>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09"/>
        <w:gridCol w:w="1969"/>
      </w:tblGrid>
      <w:tr w:rsidR="008706CB" w:rsidRPr="004F6AC7" w14:paraId="294A65A5" w14:textId="77777777" w:rsidTr="008706CB">
        <w:tc>
          <w:tcPr>
            <w:tcW w:w="2909" w:type="dxa"/>
            <w:shd w:val="clear" w:color="auto" w:fill="D9D9D9" w:themeFill="background1" w:themeFillShade="D9"/>
          </w:tcPr>
          <w:p w14:paraId="7B335922" w14:textId="77777777" w:rsidR="008706CB" w:rsidRPr="008579E2" w:rsidRDefault="008706CB" w:rsidP="0012785D">
            <w:pPr>
              <w:rPr>
                <w:rFonts w:cs="Akzidenz Grotesk BE Light"/>
                <w:b/>
                <w:color w:val="221E1F"/>
                <w:szCs w:val="18"/>
              </w:rPr>
            </w:pPr>
            <w:r w:rsidRPr="008579E2">
              <w:rPr>
                <w:rFonts w:cs="Akzidenz Grotesk BE Light"/>
                <w:b/>
                <w:color w:val="221E1F"/>
                <w:szCs w:val="18"/>
              </w:rPr>
              <w:t>Jaar</w:t>
            </w:r>
          </w:p>
        </w:tc>
        <w:tc>
          <w:tcPr>
            <w:tcW w:w="1969" w:type="dxa"/>
            <w:shd w:val="clear" w:color="auto" w:fill="D9D9D9" w:themeFill="background1" w:themeFillShade="D9"/>
          </w:tcPr>
          <w:p w14:paraId="27C41AF1" w14:textId="77777777" w:rsidR="008706CB" w:rsidRPr="008579E2" w:rsidRDefault="008706CB" w:rsidP="0012785D">
            <w:pPr>
              <w:rPr>
                <w:rFonts w:cs="Akzidenz Grotesk BE Light"/>
                <w:b/>
                <w:color w:val="221E1F"/>
                <w:szCs w:val="18"/>
              </w:rPr>
            </w:pPr>
            <w:r w:rsidRPr="008579E2">
              <w:rPr>
                <w:rFonts w:cs="Akzidenz Grotesk BE Light"/>
                <w:b/>
                <w:color w:val="221E1F"/>
                <w:szCs w:val="18"/>
              </w:rPr>
              <w:t>Bedrag</w:t>
            </w:r>
          </w:p>
        </w:tc>
      </w:tr>
      <w:tr w:rsidR="008706CB" w:rsidRPr="004F6AC7" w14:paraId="399184E4" w14:textId="77777777" w:rsidTr="008706CB">
        <w:tc>
          <w:tcPr>
            <w:tcW w:w="2909" w:type="dxa"/>
          </w:tcPr>
          <w:p w14:paraId="262A3978" w14:textId="606D415F" w:rsidR="008706CB" w:rsidRPr="008579E2" w:rsidRDefault="008706CB" w:rsidP="0012785D">
            <w:pPr>
              <w:rPr>
                <w:rFonts w:cs="Akzidenz Grotesk BE Light"/>
                <w:color w:val="221E1F"/>
                <w:szCs w:val="18"/>
              </w:rPr>
            </w:pPr>
            <w:r w:rsidRPr="008579E2">
              <w:rPr>
                <w:rFonts w:cs="Akzidenz Grotesk BE Light"/>
                <w:color w:val="221E1F"/>
                <w:szCs w:val="18"/>
              </w:rPr>
              <w:t>2014</w:t>
            </w:r>
          </w:p>
        </w:tc>
        <w:tc>
          <w:tcPr>
            <w:tcW w:w="1969" w:type="dxa"/>
          </w:tcPr>
          <w:p w14:paraId="2F7BC06B" w14:textId="51BB52E7" w:rsidR="008706CB" w:rsidRPr="004F6AC7" w:rsidRDefault="008706CB" w:rsidP="0012785D">
            <w:pPr>
              <w:rPr>
                <w:rFonts w:cs="Akzidenz Grotesk BE Light"/>
                <w:color w:val="221E1F"/>
                <w:szCs w:val="18"/>
                <w:lang w:val="en-US"/>
              </w:rPr>
            </w:pPr>
            <w:r w:rsidRPr="008579E2">
              <w:rPr>
                <w:rFonts w:cs="Akzidenz Grotesk BE Light"/>
                <w:color w:val="221E1F"/>
                <w:szCs w:val="18"/>
              </w:rPr>
              <w:t>1</w:t>
            </w:r>
            <w:r w:rsidRPr="004F6AC7">
              <w:rPr>
                <w:rFonts w:cs="Akzidenz Grotesk BE Light"/>
                <w:color w:val="221E1F"/>
                <w:szCs w:val="18"/>
                <w:lang w:val="en-US"/>
              </w:rPr>
              <w:t>,5</w:t>
            </w:r>
          </w:p>
        </w:tc>
      </w:tr>
      <w:tr w:rsidR="008706CB" w:rsidRPr="004F6AC7" w14:paraId="506E0261" w14:textId="77777777" w:rsidTr="008706CB">
        <w:tc>
          <w:tcPr>
            <w:tcW w:w="2909" w:type="dxa"/>
          </w:tcPr>
          <w:p w14:paraId="078E5415" w14:textId="3857B0DC" w:rsidR="008706CB" w:rsidRPr="004F6AC7" w:rsidRDefault="008706CB" w:rsidP="0012785D">
            <w:pPr>
              <w:rPr>
                <w:rFonts w:cs="Akzidenz Grotesk BE Light"/>
                <w:color w:val="221E1F"/>
                <w:szCs w:val="18"/>
                <w:lang w:val="en-US"/>
              </w:rPr>
            </w:pPr>
            <w:r w:rsidRPr="004F6AC7">
              <w:rPr>
                <w:rFonts w:cs="Akzidenz Grotesk BE Light"/>
                <w:color w:val="221E1F"/>
                <w:szCs w:val="18"/>
                <w:lang w:val="en-US"/>
              </w:rPr>
              <w:t>2015</w:t>
            </w:r>
          </w:p>
        </w:tc>
        <w:tc>
          <w:tcPr>
            <w:tcW w:w="1969" w:type="dxa"/>
          </w:tcPr>
          <w:p w14:paraId="7828CDD9" w14:textId="54A24458" w:rsidR="008706CB" w:rsidRPr="004F6AC7" w:rsidRDefault="008706CB" w:rsidP="0012785D">
            <w:pPr>
              <w:rPr>
                <w:rFonts w:cs="Akzidenz Grotesk BE Light"/>
                <w:color w:val="221E1F"/>
                <w:szCs w:val="18"/>
                <w:lang w:val="en-US"/>
              </w:rPr>
            </w:pPr>
            <w:r w:rsidRPr="004F6AC7">
              <w:rPr>
                <w:rFonts w:cs="Akzidenz Grotesk BE Light"/>
                <w:color w:val="221E1F"/>
                <w:szCs w:val="18"/>
                <w:lang w:val="en-US"/>
              </w:rPr>
              <w:t>0,8</w:t>
            </w:r>
          </w:p>
        </w:tc>
      </w:tr>
      <w:tr w:rsidR="008706CB" w:rsidRPr="004F6AC7" w14:paraId="3C73B5BE" w14:textId="77777777" w:rsidTr="008706CB">
        <w:tc>
          <w:tcPr>
            <w:tcW w:w="2909" w:type="dxa"/>
          </w:tcPr>
          <w:p w14:paraId="2509DE2E" w14:textId="35C1FCCD" w:rsidR="008706CB" w:rsidRPr="004F6AC7" w:rsidRDefault="008706CB" w:rsidP="0012785D">
            <w:pPr>
              <w:rPr>
                <w:rFonts w:cs="Akzidenz Grotesk BE Light"/>
                <w:color w:val="221E1F"/>
                <w:szCs w:val="18"/>
                <w:lang w:val="en-US"/>
              </w:rPr>
            </w:pPr>
            <w:r w:rsidRPr="004F6AC7">
              <w:rPr>
                <w:rFonts w:cs="Akzidenz Grotesk BE Light"/>
                <w:color w:val="221E1F"/>
                <w:szCs w:val="18"/>
                <w:lang w:val="en-US"/>
              </w:rPr>
              <w:t>2016</w:t>
            </w:r>
          </w:p>
        </w:tc>
        <w:tc>
          <w:tcPr>
            <w:tcW w:w="1969" w:type="dxa"/>
          </w:tcPr>
          <w:p w14:paraId="5BF40BC0" w14:textId="272A4DD9" w:rsidR="008706CB" w:rsidRPr="004F6AC7" w:rsidRDefault="008706CB" w:rsidP="0012785D">
            <w:pPr>
              <w:rPr>
                <w:rFonts w:cs="Akzidenz Grotesk BE Light"/>
                <w:color w:val="221E1F"/>
                <w:szCs w:val="18"/>
                <w:lang w:val="en-US"/>
              </w:rPr>
            </w:pPr>
            <w:r w:rsidRPr="004F6AC7">
              <w:rPr>
                <w:rFonts w:cs="Akzidenz Grotesk BE Light"/>
                <w:color w:val="221E1F"/>
                <w:szCs w:val="18"/>
                <w:lang w:val="en-US"/>
              </w:rPr>
              <w:t>0,8</w:t>
            </w:r>
          </w:p>
        </w:tc>
      </w:tr>
    </w:tbl>
    <w:p w14:paraId="06B7910A" w14:textId="252978D1" w:rsidR="00150BEE" w:rsidRDefault="00150BEE" w:rsidP="00C76D4B">
      <w:pPr>
        <w:spacing w:line="240" w:lineRule="auto"/>
        <w:rPr>
          <w:rFonts w:cs="Akzidenz Grotesk BE Light"/>
          <w:color w:val="221E1F"/>
          <w:szCs w:val="18"/>
          <w:lang w:val="en-US"/>
        </w:rPr>
      </w:pPr>
    </w:p>
    <w:p w14:paraId="54F89F90" w14:textId="0F95C6A5" w:rsidR="008706CB" w:rsidRDefault="008706CB" w:rsidP="008706CB">
      <w:pPr>
        <w:spacing w:line="240" w:lineRule="auto"/>
        <w:rPr>
          <w:rFonts w:cs="Akzidenz Grotesk BE Light"/>
          <w:i/>
          <w:color w:val="221E1F"/>
          <w:szCs w:val="18"/>
          <w:lang w:val="en-US"/>
        </w:rPr>
      </w:pPr>
      <w:r w:rsidRPr="00466CA1">
        <w:rPr>
          <w:rFonts w:cs="Akzidenz Grotesk BE Light"/>
          <w:i/>
          <w:color w:val="221E1F"/>
          <w:szCs w:val="18"/>
          <w:lang w:val="en-US"/>
        </w:rPr>
        <w:t>Standards and Development Facility</w:t>
      </w:r>
    </w:p>
    <w:p w14:paraId="7FF26E38" w14:textId="77777777" w:rsidR="008706CB" w:rsidRPr="00466CA1" w:rsidRDefault="008706CB" w:rsidP="008706CB">
      <w:pPr>
        <w:spacing w:line="240" w:lineRule="auto"/>
        <w:rPr>
          <w:rFonts w:cs="Akzidenz Grotesk BE Light"/>
          <w:i/>
          <w:color w:val="221E1F"/>
          <w:szCs w:val="18"/>
          <w:lang w:val="en-US"/>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10"/>
        <w:gridCol w:w="2818"/>
        <w:gridCol w:w="1969"/>
      </w:tblGrid>
      <w:tr w:rsidR="008706CB" w:rsidRPr="004F6AC7" w14:paraId="6FADE63F" w14:textId="77777777" w:rsidTr="00F17BF0">
        <w:tc>
          <w:tcPr>
            <w:tcW w:w="2910" w:type="dxa"/>
            <w:shd w:val="clear" w:color="auto" w:fill="auto"/>
          </w:tcPr>
          <w:p w14:paraId="610E2A08" w14:textId="77777777" w:rsidR="008706CB" w:rsidRPr="008579E2" w:rsidRDefault="008706CB" w:rsidP="00F17BF0">
            <w:pPr>
              <w:rPr>
                <w:rFonts w:cs="Akzidenz Grotesk BE Light"/>
                <w:b/>
                <w:color w:val="221E1F"/>
                <w:szCs w:val="18"/>
                <w:lang w:val="en-US"/>
              </w:rPr>
            </w:pPr>
            <w:r w:rsidRPr="008579E2">
              <w:rPr>
                <w:rFonts w:cs="Akzidenz Grotesk BE Light"/>
                <w:b/>
                <w:color w:val="221E1F"/>
                <w:szCs w:val="18"/>
                <w:lang w:val="en-US"/>
              </w:rPr>
              <w:t>Jaar</w:t>
            </w:r>
          </w:p>
        </w:tc>
        <w:tc>
          <w:tcPr>
            <w:tcW w:w="2818" w:type="dxa"/>
            <w:shd w:val="clear" w:color="auto" w:fill="auto"/>
          </w:tcPr>
          <w:p w14:paraId="776F631F" w14:textId="77777777" w:rsidR="008706CB" w:rsidRPr="008579E2" w:rsidRDefault="008706CB" w:rsidP="00F17BF0">
            <w:pPr>
              <w:rPr>
                <w:rFonts w:cs="Akzidenz Grotesk BE Light"/>
                <w:b/>
                <w:color w:val="221E1F"/>
                <w:szCs w:val="18"/>
                <w:lang w:val="en-US"/>
              </w:rPr>
            </w:pPr>
            <w:r w:rsidRPr="00C63FED">
              <w:rPr>
                <w:rFonts w:cs="Akzidenz Grotesk BE Light"/>
                <w:b/>
                <w:i/>
                <w:color w:val="221E1F"/>
                <w:szCs w:val="18"/>
                <w:lang w:val="en-US"/>
              </w:rPr>
              <w:t>Ranking</w:t>
            </w:r>
            <w:r w:rsidRPr="008579E2">
              <w:rPr>
                <w:rFonts w:cs="Akzidenz Grotesk BE Light"/>
                <w:b/>
                <w:color w:val="221E1F"/>
                <w:szCs w:val="18"/>
                <w:lang w:val="en-US"/>
              </w:rPr>
              <w:t>/donor</w:t>
            </w:r>
          </w:p>
        </w:tc>
        <w:tc>
          <w:tcPr>
            <w:tcW w:w="1969" w:type="dxa"/>
            <w:shd w:val="clear" w:color="auto" w:fill="auto"/>
          </w:tcPr>
          <w:p w14:paraId="073AA3E3" w14:textId="77777777" w:rsidR="008706CB" w:rsidRPr="008579E2" w:rsidRDefault="008706CB" w:rsidP="00F17BF0">
            <w:pPr>
              <w:rPr>
                <w:rFonts w:cs="Akzidenz Grotesk BE Light"/>
                <w:b/>
                <w:color w:val="221E1F"/>
                <w:szCs w:val="18"/>
                <w:lang w:val="en-US"/>
              </w:rPr>
            </w:pPr>
            <w:r w:rsidRPr="008579E2">
              <w:rPr>
                <w:rFonts w:cs="Akzidenz Grotesk BE Light"/>
                <w:b/>
                <w:color w:val="221E1F"/>
                <w:szCs w:val="18"/>
                <w:lang w:val="en-US"/>
              </w:rPr>
              <w:t>Bedrag</w:t>
            </w:r>
          </w:p>
        </w:tc>
      </w:tr>
      <w:tr w:rsidR="008706CB" w:rsidRPr="004F6AC7" w14:paraId="71B419ED" w14:textId="77777777" w:rsidTr="00F17BF0">
        <w:tc>
          <w:tcPr>
            <w:tcW w:w="7697" w:type="dxa"/>
            <w:gridSpan w:val="3"/>
            <w:shd w:val="clear" w:color="auto" w:fill="BFBFBF" w:themeFill="background1" w:themeFillShade="BF"/>
          </w:tcPr>
          <w:p w14:paraId="7D66F439" w14:textId="77777777" w:rsidR="008706CB" w:rsidRPr="008579E2" w:rsidRDefault="008706CB" w:rsidP="00F17BF0">
            <w:pPr>
              <w:rPr>
                <w:rFonts w:cs="Akzidenz Grotesk BE Light"/>
                <w:b/>
                <w:color w:val="221E1F"/>
                <w:szCs w:val="18"/>
                <w:lang w:val="en-US"/>
              </w:rPr>
            </w:pPr>
          </w:p>
        </w:tc>
      </w:tr>
      <w:tr w:rsidR="008706CB" w:rsidRPr="004F6AC7" w14:paraId="4E9584B2" w14:textId="77777777" w:rsidTr="00F17BF0">
        <w:tc>
          <w:tcPr>
            <w:tcW w:w="2910" w:type="dxa"/>
            <w:vMerge w:val="restart"/>
          </w:tcPr>
          <w:p w14:paraId="2553969B" w14:textId="77777777" w:rsidR="008706CB" w:rsidRPr="004F6AC7" w:rsidRDefault="008706CB" w:rsidP="00F17BF0">
            <w:pPr>
              <w:rPr>
                <w:rFonts w:cs="Akzidenz Grotesk BE Light"/>
                <w:color w:val="221E1F"/>
                <w:szCs w:val="18"/>
                <w:lang w:val="en-US"/>
              </w:rPr>
            </w:pPr>
            <w:r w:rsidRPr="004F6AC7">
              <w:rPr>
                <w:rFonts w:cs="Akzidenz Grotesk BE Light"/>
                <w:color w:val="221E1F"/>
                <w:szCs w:val="18"/>
                <w:lang w:val="en-US"/>
              </w:rPr>
              <w:t>2014</w:t>
            </w:r>
          </w:p>
        </w:tc>
        <w:tc>
          <w:tcPr>
            <w:tcW w:w="2818" w:type="dxa"/>
          </w:tcPr>
          <w:p w14:paraId="12C57561" w14:textId="77777777" w:rsidR="008706CB" w:rsidRPr="00466CA1" w:rsidRDefault="008706CB" w:rsidP="00F17BF0">
            <w:pPr>
              <w:rPr>
                <w:rFonts w:cs="Akzidenz Grotesk BE Light"/>
                <w:color w:val="221E1F"/>
                <w:szCs w:val="18"/>
              </w:rPr>
            </w:pPr>
            <w:r w:rsidRPr="00466CA1">
              <w:t xml:space="preserve">1. </w:t>
            </w:r>
            <w:r w:rsidRPr="00466CA1">
              <w:rPr>
                <w:rFonts w:cs="Akzidenz Grotesk BE Light"/>
                <w:color w:val="221E1F"/>
                <w:szCs w:val="18"/>
              </w:rPr>
              <w:t>Canada</w:t>
            </w:r>
          </w:p>
        </w:tc>
        <w:tc>
          <w:tcPr>
            <w:tcW w:w="1969" w:type="dxa"/>
          </w:tcPr>
          <w:p w14:paraId="3C34BF23" w14:textId="77777777" w:rsidR="008706CB" w:rsidRPr="00466CA1" w:rsidRDefault="008706CB" w:rsidP="00F17BF0">
            <w:pPr>
              <w:rPr>
                <w:rFonts w:cs="Akzidenz Grotesk BE Light"/>
                <w:color w:val="221E1F"/>
                <w:szCs w:val="18"/>
              </w:rPr>
            </w:pPr>
            <w:r w:rsidRPr="00466CA1">
              <w:rPr>
                <w:rFonts w:cs="Akzidenz Grotesk BE Light"/>
                <w:color w:val="221E1F"/>
                <w:szCs w:val="18"/>
              </w:rPr>
              <w:t>0,8</w:t>
            </w:r>
          </w:p>
        </w:tc>
      </w:tr>
      <w:tr w:rsidR="008706CB" w:rsidRPr="004F6AC7" w14:paraId="1E7AF2A6" w14:textId="77777777" w:rsidTr="00F17BF0">
        <w:tc>
          <w:tcPr>
            <w:tcW w:w="2910" w:type="dxa"/>
            <w:vMerge/>
          </w:tcPr>
          <w:p w14:paraId="5910787B" w14:textId="77777777" w:rsidR="008706CB" w:rsidRPr="00466CA1" w:rsidRDefault="008706CB" w:rsidP="00F17BF0">
            <w:pPr>
              <w:rPr>
                <w:rFonts w:cs="Akzidenz Grotesk BE Light"/>
                <w:color w:val="221E1F"/>
                <w:szCs w:val="18"/>
              </w:rPr>
            </w:pPr>
          </w:p>
        </w:tc>
        <w:tc>
          <w:tcPr>
            <w:tcW w:w="2818" w:type="dxa"/>
          </w:tcPr>
          <w:p w14:paraId="67EADC06" w14:textId="77777777" w:rsidR="008706CB" w:rsidRPr="00466CA1" w:rsidRDefault="008706CB" w:rsidP="00F17BF0">
            <w:pPr>
              <w:rPr>
                <w:rFonts w:cs="Akzidenz Grotesk BE Light"/>
                <w:b/>
                <w:color w:val="221E1F"/>
                <w:szCs w:val="18"/>
              </w:rPr>
            </w:pPr>
            <w:r>
              <w:t xml:space="preserve">2. </w:t>
            </w:r>
            <w:r w:rsidRPr="00466CA1">
              <w:rPr>
                <w:rFonts w:cs="Akzidenz Grotesk BE Light"/>
                <w:b/>
                <w:color w:val="221E1F"/>
                <w:szCs w:val="18"/>
              </w:rPr>
              <w:t>Nederland</w:t>
            </w:r>
          </w:p>
        </w:tc>
        <w:tc>
          <w:tcPr>
            <w:tcW w:w="1969" w:type="dxa"/>
          </w:tcPr>
          <w:p w14:paraId="3807CE1D" w14:textId="77777777" w:rsidR="008706CB" w:rsidRPr="00466CA1" w:rsidRDefault="008706CB" w:rsidP="00F17BF0">
            <w:pPr>
              <w:rPr>
                <w:rFonts w:cs="Akzidenz Grotesk BE Light"/>
                <w:color w:val="221E1F"/>
                <w:szCs w:val="18"/>
              </w:rPr>
            </w:pPr>
            <w:r w:rsidRPr="00466CA1">
              <w:rPr>
                <w:rFonts w:cs="Akzidenz Grotesk BE Light"/>
                <w:color w:val="221E1F"/>
                <w:szCs w:val="18"/>
              </w:rPr>
              <w:t>0,7</w:t>
            </w:r>
          </w:p>
        </w:tc>
      </w:tr>
      <w:tr w:rsidR="008706CB" w:rsidRPr="004F6AC7" w14:paraId="3CF3ABEF" w14:textId="77777777" w:rsidTr="00F17BF0">
        <w:tc>
          <w:tcPr>
            <w:tcW w:w="2910" w:type="dxa"/>
            <w:vMerge/>
          </w:tcPr>
          <w:p w14:paraId="6DBB820D" w14:textId="77777777" w:rsidR="008706CB" w:rsidRPr="00466CA1" w:rsidRDefault="008706CB" w:rsidP="00F17BF0">
            <w:pPr>
              <w:rPr>
                <w:rFonts w:cs="Akzidenz Grotesk BE Light"/>
                <w:color w:val="221E1F"/>
                <w:szCs w:val="18"/>
              </w:rPr>
            </w:pPr>
          </w:p>
        </w:tc>
        <w:tc>
          <w:tcPr>
            <w:tcW w:w="2818" w:type="dxa"/>
          </w:tcPr>
          <w:p w14:paraId="4D790BF5" w14:textId="77777777" w:rsidR="008706CB" w:rsidRPr="00466CA1" w:rsidRDefault="008706CB" w:rsidP="00F17BF0">
            <w:pPr>
              <w:rPr>
                <w:rFonts w:cs="Akzidenz Grotesk BE Light"/>
                <w:color w:val="221E1F"/>
                <w:szCs w:val="18"/>
              </w:rPr>
            </w:pPr>
            <w:r>
              <w:t xml:space="preserve">3. </w:t>
            </w:r>
            <w:r w:rsidRPr="00466CA1">
              <w:rPr>
                <w:rFonts w:cs="Akzidenz Grotesk BE Light"/>
                <w:color w:val="221E1F"/>
                <w:szCs w:val="18"/>
              </w:rPr>
              <w:t xml:space="preserve">Zweden </w:t>
            </w:r>
          </w:p>
        </w:tc>
        <w:tc>
          <w:tcPr>
            <w:tcW w:w="1969" w:type="dxa"/>
          </w:tcPr>
          <w:p w14:paraId="37CC8AC0" w14:textId="77777777" w:rsidR="008706CB" w:rsidRPr="00466CA1" w:rsidRDefault="008706CB" w:rsidP="00F17BF0">
            <w:pPr>
              <w:rPr>
                <w:rFonts w:cs="Akzidenz Grotesk BE Light"/>
                <w:color w:val="221E1F"/>
                <w:szCs w:val="18"/>
              </w:rPr>
            </w:pPr>
            <w:r w:rsidRPr="00466CA1">
              <w:rPr>
                <w:rFonts w:cs="Akzidenz Grotesk BE Light"/>
                <w:color w:val="221E1F"/>
                <w:szCs w:val="18"/>
              </w:rPr>
              <w:t>0.5</w:t>
            </w:r>
          </w:p>
        </w:tc>
      </w:tr>
      <w:tr w:rsidR="008706CB" w:rsidRPr="004F6AC7" w14:paraId="0C4F7D09" w14:textId="77777777" w:rsidTr="00F17BF0">
        <w:tc>
          <w:tcPr>
            <w:tcW w:w="7697" w:type="dxa"/>
            <w:gridSpan w:val="3"/>
            <w:shd w:val="clear" w:color="auto" w:fill="BFBFBF" w:themeFill="background1" w:themeFillShade="BF"/>
          </w:tcPr>
          <w:p w14:paraId="6B17D4E6" w14:textId="77777777" w:rsidR="008706CB" w:rsidRPr="00466CA1" w:rsidRDefault="008706CB" w:rsidP="00F17BF0">
            <w:pPr>
              <w:rPr>
                <w:rFonts w:cs="Akzidenz Grotesk BE Light"/>
                <w:color w:val="221E1F"/>
                <w:szCs w:val="18"/>
              </w:rPr>
            </w:pPr>
          </w:p>
        </w:tc>
      </w:tr>
      <w:tr w:rsidR="008706CB" w:rsidRPr="004F6AC7" w14:paraId="21F1B35B" w14:textId="77777777" w:rsidTr="00F17BF0">
        <w:tc>
          <w:tcPr>
            <w:tcW w:w="2910" w:type="dxa"/>
            <w:vMerge w:val="restart"/>
          </w:tcPr>
          <w:p w14:paraId="607C70F3" w14:textId="77777777" w:rsidR="008706CB" w:rsidRPr="00466CA1" w:rsidRDefault="008706CB" w:rsidP="00F17BF0">
            <w:pPr>
              <w:rPr>
                <w:rFonts w:cs="Akzidenz Grotesk BE Light"/>
                <w:color w:val="221E1F"/>
                <w:szCs w:val="18"/>
              </w:rPr>
            </w:pPr>
            <w:r w:rsidRPr="00466CA1">
              <w:rPr>
                <w:rFonts w:cs="Akzidenz Grotesk BE Light"/>
                <w:color w:val="221E1F"/>
                <w:szCs w:val="18"/>
              </w:rPr>
              <w:t>2015</w:t>
            </w:r>
          </w:p>
        </w:tc>
        <w:tc>
          <w:tcPr>
            <w:tcW w:w="2818" w:type="dxa"/>
          </w:tcPr>
          <w:p w14:paraId="2105FA56" w14:textId="77777777" w:rsidR="008706CB" w:rsidRPr="00466CA1" w:rsidRDefault="008706CB" w:rsidP="00F17BF0">
            <w:pPr>
              <w:rPr>
                <w:rFonts w:cs="Akzidenz Grotesk BE Light"/>
                <w:color w:val="221E1F"/>
                <w:szCs w:val="18"/>
              </w:rPr>
            </w:pPr>
            <w:r>
              <w:t xml:space="preserve">1. </w:t>
            </w:r>
            <w:r w:rsidRPr="00466CA1">
              <w:rPr>
                <w:rFonts w:cs="Akzidenz Grotesk BE Light"/>
                <w:color w:val="221E1F"/>
                <w:szCs w:val="18"/>
              </w:rPr>
              <w:t>Zweden</w:t>
            </w:r>
          </w:p>
        </w:tc>
        <w:tc>
          <w:tcPr>
            <w:tcW w:w="1969" w:type="dxa"/>
          </w:tcPr>
          <w:p w14:paraId="7D6189D5" w14:textId="77777777" w:rsidR="008706CB" w:rsidRPr="00466CA1" w:rsidRDefault="008706CB" w:rsidP="00F17BF0">
            <w:pPr>
              <w:rPr>
                <w:rFonts w:cs="Akzidenz Grotesk BE Light"/>
                <w:color w:val="221E1F"/>
                <w:szCs w:val="18"/>
              </w:rPr>
            </w:pPr>
            <w:r w:rsidRPr="00466CA1">
              <w:rPr>
                <w:rFonts w:cs="Akzidenz Grotesk BE Light"/>
                <w:color w:val="221E1F"/>
                <w:szCs w:val="18"/>
              </w:rPr>
              <w:t>1,0</w:t>
            </w:r>
          </w:p>
        </w:tc>
      </w:tr>
      <w:tr w:rsidR="008706CB" w:rsidRPr="004F6AC7" w14:paraId="5F108BFE" w14:textId="77777777" w:rsidTr="00F17BF0">
        <w:tc>
          <w:tcPr>
            <w:tcW w:w="2910" w:type="dxa"/>
            <w:vMerge/>
          </w:tcPr>
          <w:p w14:paraId="507A7104" w14:textId="77777777" w:rsidR="008706CB" w:rsidRPr="00466CA1" w:rsidRDefault="008706CB" w:rsidP="00F17BF0">
            <w:pPr>
              <w:rPr>
                <w:rFonts w:cs="Akzidenz Grotesk BE Light"/>
                <w:color w:val="221E1F"/>
                <w:szCs w:val="18"/>
              </w:rPr>
            </w:pPr>
          </w:p>
        </w:tc>
        <w:tc>
          <w:tcPr>
            <w:tcW w:w="2818" w:type="dxa"/>
          </w:tcPr>
          <w:p w14:paraId="044E80D2" w14:textId="77777777" w:rsidR="008706CB" w:rsidRPr="00466CA1" w:rsidRDefault="008706CB" w:rsidP="00F17BF0">
            <w:pPr>
              <w:rPr>
                <w:rFonts w:cs="Akzidenz Grotesk BE Light"/>
                <w:b/>
                <w:color w:val="221E1F"/>
                <w:szCs w:val="18"/>
              </w:rPr>
            </w:pPr>
            <w:r>
              <w:t xml:space="preserve">2. </w:t>
            </w:r>
            <w:r w:rsidRPr="00466CA1">
              <w:rPr>
                <w:rFonts w:cs="Akzidenz Grotesk BE Light"/>
                <w:b/>
                <w:color w:val="221E1F"/>
                <w:szCs w:val="18"/>
              </w:rPr>
              <w:t>Nederland</w:t>
            </w:r>
          </w:p>
        </w:tc>
        <w:tc>
          <w:tcPr>
            <w:tcW w:w="1969" w:type="dxa"/>
          </w:tcPr>
          <w:p w14:paraId="52B0AE03" w14:textId="77777777" w:rsidR="008706CB" w:rsidRPr="00466CA1" w:rsidRDefault="008706CB" w:rsidP="00F17BF0">
            <w:pPr>
              <w:rPr>
                <w:rFonts w:cs="Akzidenz Grotesk BE Light"/>
                <w:color w:val="221E1F"/>
                <w:szCs w:val="18"/>
              </w:rPr>
            </w:pPr>
            <w:r w:rsidRPr="00466CA1">
              <w:rPr>
                <w:rFonts w:cs="Akzidenz Grotesk BE Light"/>
                <w:color w:val="221E1F"/>
                <w:szCs w:val="18"/>
              </w:rPr>
              <w:t>0,8</w:t>
            </w:r>
          </w:p>
        </w:tc>
      </w:tr>
      <w:tr w:rsidR="008706CB" w:rsidRPr="004F6AC7" w14:paraId="2842C0A7" w14:textId="77777777" w:rsidTr="00F17BF0">
        <w:tc>
          <w:tcPr>
            <w:tcW w:w="2910" w:type="dxa"/>
            <w:vMerge/>
          </w:tcPr>
          <w:p w14:paraId="18D7867D" w14:textId="77777777" w:rsidR="008706CB" w:rsidRPr="00466CA1" w:rsidRDefault="008706CB" w:rsidP="00F17BF0">
            <w:pPr>
              <w:rPr>
                <w:rFonts w:cs="Akzidenz Grotesk BE Light"/>
                <w:color w:val="221E1F"/>
                <w:szCs w:val="18"/>
              </w:rPr>
            </w:pPr>
          </w:p>
        </w:tc>
        <w:tc>
          <w:tcPr>
            <w:tcW w:w="2818" w:type="dxa"/>
          </w:tcPr>
          <w:p w14:paraId="1F4F1C83" w14:textId="77777777" w:rsidR="008706CB" w:rsidRPr="00466CA1" w:rsidRDefault="008706CB" w:rsidP="00F17BF0">
            <w:pPr>
              <w:rPr>
                <w:rFonts w:cs="Akzidenz Grotesk BE Light"/>
                <w:color w:val="221E1F"/>
                <w:szCs w:val="18"/>
              </w:rPr>
            </w:pPr>
            <w:r>
              <w:t xml:space="preserve">3. </w:t>
            </w:r>
            <w:r w:rsidRPr="00466CA1">
              <w:rPr>
                <w:rFonts w:cs="Akzidenz Grotesk BE Light"/>
                <w:color w:val="221E1F"/>
                <w:szCs w:val="18"/>
              </w:rPr>
              <w:t xml:space="preserve">Finland </w:t>
            </w:r>
          </w:p>
        </w:tc>
        <w:tc>
          <w:tcPr>
            <w:tcW w:w="1969" w:type="dxa"/>
          </w:tcPr>
          <w:p w14:paraId="3905A2C9" w14:textId="77777777" w:rsidR="008706CB" w:rsidRPr="00466CA1" w:rsidRDefault="008706CB" w:rsidP="00F17BF0">
            <w:pPr>
              <w:rPr>
                <w:rFonts w:cs="Akzidenz Grotesk BE Light"/>
                <w:color w:val="221E1F"/>
                <w:szCs w:val="18"/>
              </w:rPr>
            </w:pPr>
            <w:r w:rsidRPr="00466CA1">
              <w:rPr>
                <w:rFonts w:cs="Akzidenz Grotesk BE Light"/>
                <w:color w:val="221E1F"/>
                <w:szCs w:val="18"/>
              </w:rPr>
              <w:t>0.5</w:t>
            </w:r>
          </w:p>
        </w:tc>
      </w:tr>
      <w:tr w:rsidR="008706CB" w:rsidRPr="004F6AC7" w14:paraId="3946042E" w14:textId="77777777" w:rsidTr="00F17BF0">
        <w:tc>
          <w:tcPr>
            <w:tcW w:w="7697" w:type="dxa"/>
            <w:gridSpan w:val="3"/>
            <w:shd w:val="clear" w:color="auto" w:fill="BFBFBF" w:themeFill="background1" w:themeFillShade="BF"/>
          </w:tcPr>
          <w:p w14:paraId="23E59306" w14:textId="77777777" w:rsidR="008706CB" w:rsidRPr="00466CA1" w:rsidRDefault="008706CB" w:rsidP="00F17BF0">
            <w:pPr>
              <w:rPr>
                <w:rFonts w:cs="Akzidenz Grotesk BE Light"/>
                <w:color w:val="221E1F"/>
                <w:szCs w:val="18"/>
              </w:rPr>
            </w:pPr>
          </w:p>
        </w:tc>
      </w:tr>
      <w:tr w:rsidR="008706CB" w:rsidRPr="004F6AC7" w14:paraId="6D45FA32" w14:textId="77777777" w:rsidTr="00F17BF0">
        <w:tc>
          <w:tcPr>
            <w:tcW w:w="2910" w:type="dxa"/>
          </w:tcPr>
          <w:p w14:paraId="4E1B18A0" w14:textId="77777777" w:rsidR="008706CB" w:rsidRPr="00466CA1" w:rsidRDefault="008706CB" w:rsidP="00F17BF0">
            <w:pPr>
              <w:rPr>
                <w:rFonts w:cs="Akzidenz Grotesk BE Light"/>
                <w:color w:val="221E1F"/>
                <w:szCs w:val="18"/>
              </w:rPr>
            </w:pPr>
            <w:r w:rsidRPr="00466CA1">
              <w:rPr>
                <w:rFonts w:cs="Akzidenz Grotesk BE Light"/>
                <w:color w:val="221E1F"/>
                <w:szCs w:val="18"/>
              </w:rPr>
              <w:t>2016</w:t>
            </w:r>
            <w:r>
              <w:rPr>
                <w:rFonts w:cs="Akzidenz Grotesk BE Light"/>
                <w:color w:val="221E1F"/>
                <w:szCs w:val="18"/>
              </w:rPr>
              <w:t>*</w:t>
            </w:r>
          </w:p>
        </w:tc>
        <w:tc>
          <w:tcPr>
            <w:tcW w:w="2818" w:type="dxa"/>
          </w:tcPr>
          <w:p w14:paraId="008C89A5" w14:textId="77777777" w:rsidR="008706CB" w:rsidRPr="00466CA1" w:rsidRDefault="008706CB" w:rsidP="00F17BF0">
            <w:pPr>
              <w:rPr>
                <w:rFonts w:cs="Akzidenz Grotesk BE Light"/>
                <w:color w:val="221E1F"/>
                <w:szCs w:val="18"/>
              </w:rPr>
            </w:pPr>
          </w:p>
        </w:tc>
        <w:tc>
          <w:tcPr>
            <w:tcW w:w="1969" w:type="dxa"/>
          </w:tcPr>
          <w:p w14:paraId="2A89386A" w14:textId="77777777" w:rsidR="008706CB" w:rsidRPr="00466CA1" w:rsidRDefault="008706CB" w:rsidP="00F17BF0">
            <w:pPr>
              <w:rPr>
                <w:rFonts w:cs="Akzidenz Grotesk BE Light"/>
                <w:color w:val="221E1F"/>
                <w:szCs w:val="18"/>
              </w:rPr>
            </w:pPr>
          </w:p>
        </w:tc>
      </w:tr>
    </w:tbl>
    <w:p w14:paraId="0D88A575" w14:textId="3D83D76C" w:rsidR="008706CB" w:rsidRDefault="008706CB" w:rsidP="00C76D4B">
      <w:pPr>
        <w:spacing w:line="240" w:lineRule="auto"/>
        <w:rPr>
          <w:rFonts w:cs="Akzidenz Grotesk BE Light"/>
          <w:color w:val="221E1F"/>
          <w:szCs w:val="18"/>
          <w:lang w:val="en-US"/>
        </w:rPr>
      </w:pPr>
    </w:p>
    <w:p w14:paraId="16910B46" w14:textId="2638DD43" w:rsidR="008706CB" w:rsidRPr="008706CB" w:rsidRDefault="008706CB" w:rsidP="00C76D4B">
      <w:pPr>
        <w:spacing w:line="240" w:lineRule="auto"/>
        <w:rPr>
          <w:rFonts w:cs="Akzidenz Grotesk BE Light"/>
          <w:color w:val="221E1F"/>
          <w:szCs w:val="18"/>
        </w:rPr>
      </w:pPr>
      <w:r w:rsidRPr="008706CB">
        <w:rPr>
          <w:rFonts w:cs="Akzidenz Grotesk BE Light"/>
          <w:color w:val="221E1F"/>
          <w:szCs w:val="18"/>
        </w:rPr>
        <w:t>* Definitieve cijfers 2016 nog niet bekend</w:t>
      </w:r>
    </w:p>
    <w:p w14:paraId="6E8D0FF4" w14:textId="77777777" w:rsidR="008706CB" w:rsidRPr="008706CB" w:rsidRDefault="008706CB" w:rsidP="00C76D4B">
      <w:pPr>
        <w:spacing w:line="240" w:lineRule="auto"/>
        <w:rPr>
          <w:rFonts w:cs="Akzidenz Grotesk BE Light"/>
          <w:color w:val="221E1F"/>
          <w:szCs w:val="18"/>
        </w:rPr>
      </w:pPr>
    </w:p>
    <w:p w14:paraId="6F2B7869" w14:textId="6CCE54B8" w:rsidR="00150BEE" w:rsidRPr="00A118B5" w:rsidRDefault="009A0711" w:rsidP="00F24A31">
      <w:pPr>
        <w:pStyle w:val="Heading1"/>
        <w:tabs>
          <w:tab w:val="num" w:pos="0"/>
        </w:tabs>
        <w:spacing w:after="240" w:line="240" w:lineRule="auto"/>
        <w:ind w:hanging="1162"/>
      </w:pPr>
      <w:bookmarkStart w:id="29" w:name="_Toc491440351"/>
      <w:r>
        <w:lastRenderedPageBreak/>
        <w:t>4</w:t>
      </w:r>
      <w:r w:rsidR="00150BEE">
        <w:t xml:space="preserve"> </w:t>
      </w:r>
      <w:r>
        <w:t xml:space="preserve">           </w:t>
      </w:r>
      <w:r w:rsidR="00150BEE" w:rsidRPr="00A118B5">
        <w:t>Institutionele aspecten en functioneren van de organisatie</w:t>
      </w:r>
      <w:bookmarkEnd w:id="29"/>
    </w:p>
    <w:p w14:paraId="47273D21" w14:textId="77777777" w:rsidR="009A0711" w:rsidRPr="009A0711" w:rsidRDefault="009A0711" w:rsidP="009A0711">
      <w:pPr>
        <w:pStyle w:val="ListParagraph"/>
        <w:keepNext/>
        <w:widowControl w:val="0"/>
        <w:numPr>
          <w:ilvl w:val="0"/>
          <w:numId w:val="9"/>
        </w:numPr>
        <w:tabs>
          <w:tab w:val="left" w:pos="-1162"/>
          <w:tab w:val="left" w:pos="0"/>
        </w:tabs>
        <w:spacing w:before="200" w:line="240" w:lineRule="auto"/>
        <w:outlineLvl w:val="1"/>
        <w:rPr>
          <w:rFonts w:cs="Arial"/>
          <w:b/>
          <w:iCs/>
          <w:vanish/>
          <w:kern w:val="32"/>
          <w:szCs w:val="28"/>
        </w:rPr>
      </w:pPr>
    </w:p>
    <w:p w14:paraId="6E861036" w14:textId="77777777" w:rsidR="009A0711" w:rsidRPr="009A0711" w:rsidRDefault="009A0711" w:rsidP="009A0711">
      <w:pPr>
        <w:pStyle w:val="ListParagraph"/>
        <w:keepNext/>
        <w:widowControl w:val="0"/>
        <w:numPr>
          <w:ilvl w:val="0"/>
          <w:numId w:val="9"/>
        </w:numPr>
        <w:tabs>
          <w:tab w:val="left" w:pos="-1162"/>
          <w:tab w:val="left" w:pos="0"/>
        </w:tabs>
        <w:spacing w:before="200" w:line="240" w:lineRule="auto"/>
        <w:outlineLvl w:val="1"/>
        <w:rPr>
          <w:rFonts w:cs="Arial"/>
          <w:b/>
          <w:iCs/>
          <w:vanish/>
          <w:kern w:val="32"/>
          <w:szCs w:val="28"/>
        </w:rPr>
      </w:pPr>
    </w:p>
    <w:p w14:paraId="1FCE0F77" w14:textId="13CE96C2" w:rsidR="00150BEE" w:rsidRPr="00A118B5" w:rsidRDefault="009A0711" w:rsidP="009A0711">
      <w:pPr>
        <w:pStyle w:val="Heading2"/>
        <w:numPr>
          <w:ilvl w:val="1"/>
          <w:numId w:val="9"/>
        </w:numPr>
        <w:tabs>
          <w:tab w:val="left" w:pos="-1162"/>
          <w:tab w:val="left" w:pos="0"/>
        </w:tabs>
        <w:spacing w:line="240" w:lineRule="auto"/>
      </w:pPr>
      <w:r>
        <w:t xml:space="preserve">             </w:t>
      </w:r>
      <w:bookmarkStart w:id="30" w:name="_Toc491440352"/>
      <w:r w:rsidR="00150BEE" w:rsidRPr="00A118B5">
        <w:t>Strategie en verantwoording</w:t>
      </w:r>
      <w:bookmarkEnd w:id="30"/>
    </w:p>
    <w:p w14:paraId="578EE6E7" w14:textId="5A1C41C9" w:rsidR="00150BEE" w:rsidRDefault="00150BEE" w:rsidP="00684D62">
      <w:pPr>
        <w:pStyle w:val="NormalWeb"/>
        <w:rPr>
          <w:szCs w:val="18"/>
        </w:rPr>
      </w:pPr>
      <w:r>
        <w:rPr>
          <w:szCs w:val="18"/>
        </w:rPr>
        <w:t xml:space="preserve">De WTO heeft een duidelijk, afgebakend mandaat. </w:t>
      </w:r>
      <w:r w:rsidRPr="001C5566">
        <w:rPr>
          <w:szCs w:val="18"/>
        </w:rPr>
        <w:t xml:space="preserve">Het mandaat van de WTO behelst </w:t>
      </w:r>
      <w:r>
        <w:rPr>
          <w:szCs w:val="18"/>
        </w:rPr>
        <w:t>het</w:t>
      </w:r>
      <w:r w:rsidRPr="001C5566">
        <w:rPr>
          <w:szCs w:val="18"/>
        </w:rPr>
        <w:t xml:space="preserve"> wegnemen van onnodige handelsbelemmeringen, monitoring van de implementatie van multilaterale akkoorden op het gebied van voedselveiligheid, intellectueel eigendom, handel en goederen en dienstenhandel, en geschillenbeslechting. De politieke verklaringen overeengekomen op de tweejaarlijkse Ministeriële Conferenties zijn sturend </w:t>
      </w:r>
      <w:r>
        <w:rPr>
          <w:szCs w:val="18"/>
        </w:rPr>
        <w:t>in</w:t>
      </w:r>
      <w:r w:rsidRPr="001C5566">
        <w:rPr>
          <w:szCs w:val="18"/>
        </w:rPr>
        <w:t xml:space="preserve"> de onderhandelingen. Daarnaast bepalen de WTO-leden in de Algemene Raad en de daaronder werkende raden/comités </w:t>
      </w:r>
      <w:r>
        <w:rPr>
          <w:szCs w:val="18"/>
        </w:rPr>
        <w:t>waarover onderhandeld wordt in deze samenstellingen.</w:t>
      </w:r>
      <w:r w:rsidRPr="001C5566">
        <w:rPr>
          <w:szCs w:val="18"/>
        </w:rPr>
        <w:t xml:space="preserve"> </w:t>
      </w:r>
      <w:r>
        <w:rPr>
          <w:szCs w:val="18"/>
        </w:rPr>
        <w:t>Het secretariaat heeft geen sturende rol, maar slechts een ondersteunende rol in deze organisatie.</w:t>
      </w:r>
    </w:p>
    <w:p w14:paraId="0914ABAB" w14:textId="77777777" w:rsidR="00150BEE" w:rsidRPr="001C5566" w:rsidRDefault="00150BEE" w:rsidP="00684D62">
      <w:pPr>
        <w:pStyle w:val="NormalWeb"/>
        <w:rPr>
          <w:szCs w:val="18"/>
        </w:rPr>
      </w:pPr>
    </w:p>
    <w:p w14:paraId="7E7FA2F0" w14:textId="11CCA779" w:rsidR="00150BEE" w:rsidRPr="00CC4DD8" w:rsidRDefault="00150BEE" w:rsidP="0074455F">
      <w:pPr>
        <w:pStyle w:val="NormalWeb"/>
        <w:rPr>
          <w:szCs w:val="18"/>
        </w:rPr>
      </w:pPr>
      <w:r w:rsidRPr="001C5566">
        <w:rPr>
          <w:szCs w:val="18"/>
        </w:rPr>
        <w:t xml:space="preserve">De onderhandelingen over hervormingen en nieuwe handelsregels </w:t>
      </w:r>
      <w:r>
        <w:rPr>
          <w:szCs w:val="18"/>
        </w:rPr>
        <w:t>met betrekking tot de</w:t>
      </w:r>
      <w:r w:rsidRPr="001C5566">
        <w:rPr>
          <w:szCs w:val="18"/>
        </w:rPr>
        <w:t xml:space="preserve"> onderwerpen die vastgesteld zijn in de Ministeriële Verklaring in Doha (2001) verlopen moeizaam. Oorzaak hiervoor </w:t>
      </w:r>
      <w:r>
        <w:rPr>
          <w:szCs w:val="18"/>
        </w:rPr>
        <w:t xml:space="preserve">ligt bij de leden en </w:t>
      </w:r>
      <w:r w:rsidRPr="001C5566">
        <w:rPr>
          <w:szCs w:val="18"/>
        </w:rPr>
        <w:t xml:space="preserve">is politiek van aard, en moet </w:t>
      </w:r>
      <w:r>
        <w:rPr>
          <w:szCs w:val="18"/>
        </w:rPr>
        <w:t xml:space="preserve">dus </w:t>
      </w:r>
      <w:r w:rsidRPr="001C5566">
        <w:rPr>
          <w:szCs w:val="18"/>
        </w:rPr>
        <w:t>los worden gezien van het functioneren van de WTO</w:t>
      </w:r>
      <w:r>
        <w:rPr>
          <w:szCs w:val="18"/>
        </w:rPr>
        <w:t xml:space="preserve"> als organisatie</w:t>
      </w:r>
      <w:r w:rsidRPr="001C5566">
        <w:rPr>
          <w:szCs w:val="18"/>
        </w:rPr>
        <w:t>.</w:t>
      </w:r>
    </w:p>
    <w:p w14:paraId="24E53916" w14:textId="77777777" w:rsidR="00150BEE" w:rsidRDefault="00150BEE" w:rsidP="0074455F">
      <w:pPr>
        <w:pStyle w:val="NormalWeb"/>
        <w:rPr>
          <w:szCs w:val="18"/>
        </w:rPr>
      </w:pPr>
    </w:p>
    <w:p w14:paraId="76901599" w14:textId="6F97BB82" w:rsidR="00150BEE" w:rsidRDefault="00150BEE" w:rsidP="0074455F">
      <w:pPr>
        <w:pStyle w:val="NormalWeb"/>
        <w:rPr>
          <w:szCs w:val="18"/>
        </w:rPr>
      </w:pPr>
      <w:r w:rsidRPr="005C3CD1">
        <w:rPr>
          <w:szCs w:val="18"/>
          <w:u w:val="single"/>
        </w:rPr>
        <w:t>Technische assistentie</w:t>
      </w:r>
    </w:p>
    <w:p w14:paraId="55E3A18C" w14:textId="0B9EFD1B" w:rsidR="00150BEE" w:rsidRDefault="00150BEE" w:rsidP="0074455F">
      <w:pPr>
        <w:pStyle w:val="NormalWeb"/>
        <w:rPr>
          <w:szCs w:val="18"/>
        </w:rPr>
      </w:pPr>
      <w:r>
        <w:rPr>
          <w:szCs w:val="18"/>
        </w:rPr>
        <w:t>Ongeveer 2,5 procent van het WTO-budget gaat naar technische assistentie. Een deel van het</w:t>
      </w:r>
      <w:r w:rsidRPr="001C5566">
        <w:rPr>
          <w:szCs w:val="18"/>
        </w:rPr>
        <w:t xml:space="preserve"> WTO-secretariaat</w:t>
      </w:r>
      <w:r>
        <w:rPr>
          <w:szCs w:val="18"/>
        </w:rPr>
        <w:t xml:space="preserve">, het </w:t>
      </w:r>
      <w:r w:rsidRPr="00AF6A3F">
        <w:rPr>
          <w:i/>
          <w:szCs w:val="18"/>
        </w:rPr>
        <w:t>Institute for Training and Technical Cooperation</w:t>
      </w:r>
      <w:r>
        <w:rPr>
          <w:szCs w:val="18"/>
        </w:rPr>
        <w:t xml:space="preserve"> (ITTC) voert</w:t>
      </w:r>
      <w:r w:rsidRPr="001C5566">
        <w:rPr>
          <w:szCs w:val="18"/>
        </w:rPr>
        <w:t xml:space="preserve"> </w:t>
      </w:r>
      <w:r>
        <w:rPr>
          <w:szCs w:val="18"/>
        </w:rPr>
        <w:t>een aantal</w:t>
      </w:r>
      <w:r w:rsidRPr="001C5566">
        <w:rPr>
          <w:szCs w:val="18"/>
        </w:rPr>
        <w:t xml:space="preserve"> programma’s voor technische assistentie </w:t>
      </w:r>
      <w:r>
        <w:rPr>
          <w:szCs w:val="18"/>
        </w:rPr>
        <w:t>uit, gericht op de opbouw van de</w:t>
      </w:r>
      <w:r w:rsidR="00CB0EFF">
        <w:rPr>
          <w:szCs w:val="18"/>
        </w:rPr>
        <w:t xml:space="preserve"> capaciteit van ontwikkelingsla</w:t>
      </w:r>
      <w:r>
        <w:rPr>
          <w:szCs w:val="18"/>
        </w:rPr>
        <w:t>nden op het gebied van handelsbeleid. Hiertoe wordt jaarlijks een strategisch plan vastgelegd. De technische- assistentieprogramma’s richten zich op het versterken van kennis bij ambtenaren in ontwikkelingslanden. Meer kennis zorgt ervoor dat WTO-leden hun belangen beter voor het voetlicht kunnen brengen en gebruik kunnen maken van de kansen die handelsakkoorden bieden. De verwachte resultaten van deze programma’s zijn vastgelegd in een logframe, waar ook onderliggende aannames in expliciet gemaakt zijn. Uitvoering van de programma’s en bijbehorende uitgaven wordt door de WTO-leden gemonitord in het Comité Handel en Ontwikkeling en het Comité Budget, Financiën en Administratie. De technische assistentie die de WTO verleent draagt indirect bij aan (armoede)strategieën of nationaal beleid. Naast haar eigen activiteiten op het gebied van technische assistentie heeft de WTO</w:t>
      </w:r>
      <w:r w:rsidRPr="001C5566">
        <w:rPr>
          <w:szCs w:val="18"/>
        </w:rPr>
        <w:t xml:space="preserve"> een </w:t>
      </w:r>
      <w:r>
        <w:rPr>
          <w:szCs w:val="18"/>
        </w:rPr>
        <w:t>coördinerende rol voor</w:t>
      </w:r>
      <w:r w:rsidRPr="001C5566">
        <w:rPr>
          <w:szCs w:val="18"/>
        </w:rPr>
        <w:t xml:space="preserve"> </w:t>
      </w:r>
      <w:r w:rsidRPr="005C3CD1">
        <w:rPr>
          <w:i/>
          <w:szCs w:val="18"/>
        </w:rPr>
        <w:t>Aid for Trade</w:t>
      </w:r>
      <w:r>
        <w:rPr>
          <w:szCs w:val="18"/>
        </w:rPr>
        <w:t>. Belanghebbenden en begunstigden van technische assistentie weten het WTO-secretariaat te vinden als zij behoefte hebben aan ondersteuning.</w:t>
      </w:r>
    </w:p>
    <w:p w14:paraId="7BEE02DB" w14:textId="77777777" w:rsidR="00150BEE" w:rsidRPr="001C5566" w:rsidRDefault="00150BEE" w:rsidP="0074455F">
      <w:pPr>
        <w:pStyle w:val="NormalWeb"/>
        <w:rPr>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1"/>
        <w:gridCol w:w="828"/>
        <w:gridCol w:w="928"/>
      </w:tblGrid>
      <w:tr w:rsidR="00150BEE" w:rsidRPr="00211CA3" w14:paraId="64EEDD30" w14:textId="77777777" w:rsidTr="001C6E42">
        <w:tc>
          <w:tcPr>
            <w:tcW w:w="5941" w:type="dxa"/>
            <w:tcBorders>
              <w:top w:val="single" w:sz="12" w:space="0" w:color="auto"/>
              <w:left w:val="single" w:sz="12" w:space="0" w:color="auto"/>
              <w:bottom w:val="single" w:sz="12" w:space="0" w:color="auto"/>
              <w:right w:val="nil"/>
            </w:tcBorders>
            <w:shd w:val="clear" w:color="auto" w:fill="D9D9D9"/>
          </w:tcPr>
          <w:p w14:paraId="0F23EB89" w14:textId="77777777" w:rsidR="00150BEE" w:rsidRPr="00A118B5" w:rsidRDefault="00150BEE" w:rsidP="00326699">
            <w:pPr>
              <w:rPr>
                <w:b/>
              </w:rPr>
            </w:pPr>
            <w:r w:rsidRPr="00A118B5">
              <w:rPr>
                <w:b/>
              </w:rPr>
              <w:t>Onderdeel</w:t>
            </w:r>
          </w:p>
        </w:tc>
        <w:tc>
          <w:tcPr>
            <w:tcW w:w="828" w:type="dxa"/>
            <w:tcBorders>
              <w:top w:val="single" w:sz="12" w:space="0" w:color="auto"/>
              <w:left w:val="nil"/>
              <w:bottom w:val="single" w:sz="12" w:space="0" w:color="auto"/>
            </w:tcBorders>
            <w:shd w:val="clear" w:color="auto" w:fill="D9D9D9"/>
          </w:tcPr>
          <w:p w14:paraId="31F428CA" w14:textId="77777777" w:rsidR="00150BEE" w:rsidRPr="00A118B5" w:rsidRDefault="00150BEE" w:rsidP="00326699">
            <w:pPr>
              <w:rPr>
                <w:b/>
              </w:rPr>
            </w:pPr>
          </w:p>
        </w:tc>
        <w:tc>
          <w:tcPr>
            <w:tcW w:w="928" w:type="dxa"/>
            <w:tcBorders>
              <w:top w:val="single" w:sz="12" w:space="0" w:color="auto"/>
              <w:bottom w:val="single" w:sz="12" w:space="0" w:color="auto"/>
              <w:right w:val="single" w:sz="12" w:space="0" w:color="auto"/>
            </w:tcBorders>
            <w:shd w:val="clear" w:color="auto" w:fill="D9D9D9"/>
          </w:tcPr>
          <w:p w14:paraId="286F2873" w14:textId="77777777" w:rsidR="00150BEE" w:rsidRPr="00A118B5" w:rsidRDefault="00150BEE" w:rsidP="00326699">
            <w:pPr>
              <w:rPr>
                <w:b/>
              </w:rPr>
            </w:pPr>
            <w:r w:rsidRPr="00A118B5">
              <w:rPr>
                <w:b/>
              </w:rPr>
              <w:t>Score</w:t>
            </w:r>
          </w:p>
        </w:tc>
      </w:tr>
      <w:tr w:rsidR="00150BEE" w:rsidRPr="00211CA3" w14:paraId="089E0928" w14:textId="77777777" w:rsidTr="001C6E42">
        <w:tc>
          <w:tcPr>
            <w:tcW w:w="5941" w:type="dxa"/>
            <w:tcBorders>
              <w:top w:val="single" w:sz="12" w:space="0" w:color="auto"/>
              <w:left w:val="single" w:sz="12" w:space="0" w:color="auto"/>
              <w:right w:val="nil"/>
            </w:tcBorders>
            <w:shd w:val="clear" w:color="auto" w:fill="auto"/>
          </w:tcPr>
          <w:p w14:paraId="12599F07" w14:textId="77777777" w:rsidR="00150BEE" w:rsidRPr="00A118B5" w:rsidRDefault="00150BEE" w:rsidP="00326699">
            <w:r w:rsidRPr="00A118B5">
              <w:t>Kernmandaat / Prioriteiten / Mission Creep</w:t>
            </w:r>
          </w:p>
        </w:tc>
        <w:tc>
          <w:tcPr>
            <w:tcW w:w="828" w:type="dxa"/>
            <w:tcBorders>
              <w:top w:val="single" w:sz="12" w:space="0" w:color="auto"/>
              <w:left w:val="nil"/>
            </w:tcBorders>
          </w:tcPr>
          <w:p w14:paraId="50D42B3C" w14:textId="77777777" w:rsidR="00150BEE" w:rsidRPr="00A118B5" w:rsidRDefault="00150BEE" w:rsidP="00326699"/>
        </w:tc>
        <w:tc>
          <w:tcPr>
            <w:tcW w:w="928" w:type="dxa"/>
            <w:tcBorders>
              <w:top w:val="single" w:sz="12" w:space="0" w:color="auto"/>
              <w:right w:val="single" w:sz="12" w:space="0" w:color="auto"/>
            </w:tcBorders>
            <w:shd w:val="clear" w:color="auto" w:fill="auto"/>
          </w:tcPr>
          <w:p w14:paraId="5700CB06" w14:textId="77777777" w:rsidR="00150BEE" w:rsidRPr="00A118B5" w:rsidRDefault="00150BEE" w:rsidP="00326699">
            <w:r w:rsidRPr="00A118B5">
              <w:t>4</w:t>
            </w:r>
          </w:p>
        </w:tc>
      </w:tr>
      <w:tr w:rsidR="00150BEE" w:rsidRPr="00211CA3" w14:paraId="21FEEEF9" w14:textId="77777777" w:rsidTr="001C6E42">
        <w:tc>
          <w:tcPr>
            <w:tcW w:w="5941" w:type="dxa"/>
            <w:tcBorders>
              <w:left w:val="single" w:sz="12" w:space="0" w:color="auto"/>
              <w:right w:val="nil"/>
            </w:tcBorders>
            <w:shd w:val="clear" w:color="auto" w:fill="auto"/>
          </w:tcPr>
          <w:p w14:paraId="7AB6E2AB" w14:textId="77777777" w:rsidR="00150BEE" w:rsidRPr="00A118B5" w:rsidRDefault="00150BEE" w:rsidP="00326699">
            <w:r w:rsidRPr="00A118B5">
              <w:t>Beleidsstrategie</w:t>
            </w:r>
          </w:p>
        </w:tc>
        <w:tc>
          <w:tcPr>
            <w:tcW w:w="828" w:type="dxa"/>
            <w:tcBorders>
              <w:left w:val="nil"/>
            </w:tcBorders>
          </w:tcPr>
          <w:p w14:paraId="4E667BE2" w14:textId="77777777" w:rsidR="00150BEE" w:rsidRPr="00A118B5" w:rsidRDefault="00150BEE" w:rsidP="00326699"/>
        </w:tc>
        <w:tc>
          <w:tcPr>
            <w:tcW w:w="928" w:type="dxa"/>
            <w:tcBorders>
              <w:right w:val="single" w:sz="12" w:space="0" w:color="auto"/>
            </w:tcBorders>
            <w:shd w:val="clear" w:color="auto" w:fill="auto"/>
          </w:tcPr>
          <w:p w14:paraId="688B2ABB" w14:textId="509DA4AB" w:rsidR="00150BEE" w:rsidRPr="00A118B5" w:rsidRDefault="00150BEE" w:rsidP="00326699">
            <w:r>
              <w:t>3</w:t>
            </w:r>
          </w:p>
        </w:tc>
      </w:tr>
      <w:tr w:rsidR="00150BEE" w:rsidRPr="00211CA3" w14:paraId="5CE37B8A" w14:textId="77777777" w:rsidTr="001C6E42">
        <w:tc>
          <w:tcPr>
            <w:tcW w:w="5941" w:type="dxa"/>
            <w:tcBorders>
              <w:left w:val="single" w:sz="12" w:space="0" w:color="auto"/>
              <w:bottom w:val="single" w:sz="4" w:space="0" w:color="auto"/>
              <w:right w:val="nil"/>
            </w:tcBorders>
            <w:shd w:val="clear" w:color="auto" w:fill="auto"/>
          </w:tcPr>
          <w:p w14:paraId="64169E23" w14:textId="77777777" w:rsidR="00150BEE" w:rsidRPr="008706CB" w:rsidRDefault="00150BEE" w:rsidP="00326699">
            <w:r w:rsidRPr="008706CB">
              <w:t>Theory of Change</w:t>
            </w:r>
          </w:p>
        </w:tc>
        <w:tc>
          <w:tcPr>
            <w:tcW w:w="828" w:type="dxa"/>
            <w:tcBorders>
              <w:left w:val="nil"/>
            </w:tcBorders>
          </w:tcPr>
          <w:p w14:paraId="4EFF97B5" w14:textId="77777777" w:rsidR="00150BEE" w:rsidRPr="00A118B5" w:rsidRDefault="00150BEE" w:rsidP="00326699"/>
        </w:tc>
        <w:tc>
          <w:tcPr>
            <w:tcW w:w="928" w:type="dxa"/>
            <w:tcBorders>
              <w:right w:val="single" w:sz="12" w:space="0" w:color="auto"/>
            </w:tcBorders>
            <w:shd w:val="clear" w:color="auto" w:fill="auto"/>
          </w:tcPr>
          <w:p w14:paraId="1ED23853" w14:textId="4FCBCC94" w:rsidR="00150BEE" w:rsidRPr="00A118B5" w:rsidRDefault="00150BEE" w:rsidP="00326699">
            <w:r>
              <w:t>3</w:t>
            </w:r>
          </w:p>
        </w:tc>
      </w:tr>
      <w:tr w:rsidR="00150BEE" w:rsidRPr="00211CA3" w14:paraId="0642BC43" w14:textId="77777777" w:rsidTr="001C6E42">
        <w:tc>
          <w:tcPr>
            <w:tcW w:w="5941" w:type="dxa"/>
            <w:tcBorders>
              <w:top w:val="single" w:sz="4" w:space="0" w:color="auto"/>
              <w:left w:val="single" w:sz="12" w:space="0" w:color="auto"/>
              <w:bottom w:val="single" w:sz="4" w:space="0" w:color="auto"/>
              <w:right w:val="nil"/>
            </w:tcBorders>
            <w:shd w:val="clear" w:color="auto" w:fill="auto"/>
          </w:tcPr>
          <w:p w14:paraId="77BA4128" w14:textId="77777777" w:rsidR="00150BEE" w:rsidRPr="00A118B5" w:rsidRDefault="00150BEE" w:rsidP="00326699">
            <w:r w:rsidRPr="00A118B5">
              <w:t>Aansluiting Nationaal beleid / Armoedestrategie</w:t>
            </w:r>
          </w:p>
        </w:tc>
        <w:tc>
          <w:tcPr>
            <w:tcW w:w="828" w:type="dxa"/>
            <w:tcBorders>
              <w:left w:val="nil"/>
              <w:bottom w:val="single" w:sz="4" w:space="0" w:color="auto"/>
            </w:tcBorders>
          </w:tcPr>
          <w:p w14:paraId="66E493F9" w14:textId="77777777" w:rsidR="00150BEE" w:rsidRPr="00A118B5" w:rsidDel="0074455F" w:rsidRDefault="00150BEE" w:rsidP="00326699"/>
        </w:tc>
        <w:tc>
          <w:tcPr>
            <w:tcW w:w="928" w:type="dxa"/>
            <w:tcBorders>
              <w:bottom w:val="single" w:sz="4" w:space="0" w:color="auto"/>
              <w:right w:val="single" w:sz="12" w:space="0" w:color="auto"/>
            </w:tcBorders>
            <w:shd w:val="clear" w:color="auto" w:fill="auto"/>
          </w:tcPr>
          <w:p w14:paraId="5C9BE7C7" w14:textId="77777777" w:rsidR="00150BEE" w:rsidRPr="00A118B5" w:rsidRDefault="00150BEE" w:rsidP="00326699">
            <w:r w:rsidRPr="00A118B5">
              <w:t>3</w:t>
            </w:r>
          </w:p>
        </w:tc>
      </w:tr>
      <w:tr w:rsidR="00150BEE" w:rsidRPr="00211CA3" w14:paraId="0DAF8D94" w14:textId="77777777" w:rsidTr="001C6E42">
        <w:tc>
          <w:tcPr>
            <w:tcW w:w="5941" w:type="dxa"/>
            <w:tcBorders>
              <w:top w:val="single" w:sz="4" w:space="0" w:color="auto"/>
              <w:left w:val="single" w:sz="12" w:space="0" w:color="auto"/>
              <w:bottom w:val="single" w:sz="4" w:space="0" w:color="auto"/>
              <w:right w:val="nil"/>
            </w:tcBorders>
            <w:shd w:val="clear" w:color="auto" w:fill="auto"/>
          </w:tcPr>
          <w:p w14:paraId="41853E89" w14:textId="77777777" w:rsidR="00150BEE" w:rsidRPr="00A118B5" w:rsidRDefault="00150BEE" w:rsidP="00326699">
            <w:r w:rsidRPr="00A118B5">
              <w:t xml:space="preserve">Verantwoording </w:t>
            </w:r>
          </w:p>
        </w:tc>
        <w:tc>
          <w:tcPr>
            <w:tcW w:w="828" w:type="dxa"/>
            <w:tcBorders>
              <w:left w:val="nil"/>
              <w:bottom w:val="single" w:sz="4" w:space="0" w:color="auto"/>
            </w:tcBorders>
          </w:tcPr>
          <w:p w14:paraId="4563A3DA" w14:textId="77777777" w:rsidR="00150BEE" w:rsidRPr="00A118B5" w:rsidDel="0074455F" w:rsidRDefault="00150BEE" w:rsidP="00326699"/>
        </w:tc>
        <w:tc>
          <w:tcPr>
            <w:tcW w:w="928" w:type="dxa"/>
            <w:tcBorders>
              <w:bottom w:val="single" w:sz="4" w:space="0" w:color="auto"/>
              <w:right w:val="single" w:sz="12" w:space="0" w:color="auto"/>
            </w:tcBorders>
            <w:shd w:val="clear" w:color="auto" w:fill="auto"/>
          </w:tcPr>
          <w:p w14:paraId="0176ED2C" w14:textId="77777777" w:rsidR="00150BEE" w:rsidRPr="00A118B5" w:rsidRDefault="00150BEE" w:rsidP="00326699">
            <w:r w:rsidRPr="00A118B5">
              <w:t>3</w:t>
            </w:r>
          </w:p>
        </w:tc>
      </w:tr>
      <w:tr w:rsidR="00150BEE" w:rsidRPr="00211CA3" w14:paraId="595CBA71" w14:textId="77777777" w:rsidTr="001C6E42">
        <w:tc>
          <w:tcPr>
            <w:tcW w:w="5941" w:type="dxa"/>
            <w:tcBorders>
              <w:top w:val="single" w:sz="4" w:space="0" w:color="auto"/>
              <w:left w:val="single" w:sz="12" w:space="0" w:color="auto"/>
              <w:bottom w:val="single" w:sz="12" w:space="0" w:color="auto"/>
              <w:right w:val="nil"/>
            </w:tcBorders>
            <w:shd w:val="clear" w:color="auto" w:fill="auto"/>
          </w:tcPr>
          <w:p w14:paraId="195C01FE" w14:textId="77777777" w:rsidR="00150BEE" w:rsidRPr="00A118B5" w:rsidRDefault="00150BEE" w:rsidP="003E0DD1">
            <w:r w:rsidRPr="00A118B5">
              <w:t>Aanspreekbaarheid voor overige belanghebbenden</w:t>
            </w:r>
          </w:p>
        </w:tc>
        <w:tc>
          <w:tcPr>
            <w:tcW w:w="828" w:type="dxa"/>
            <w:tcBorders>
              <w:left w:val="nil"/>
              <w:bottom w:val="single" w:sz="12" w:space="0" w:color="auto"/>
            </w:tcBorders>
          </w:tcPr>
          <w:p w14:paraId="6475872D" w14:textId="77777777" w:rsidR="00150BEE" w:rsidRPr="00A118B5" w:rsidRDefault="00150BEE" w:rsidP="00326699"/>
        </w:tc>
        <w:tc>
          <w:tcPr>
            <w:tcW w:w="928" w:type="dxa"/>
            <w:tcBorders>
              <w:bottom w:val="single" w:sz="12" w:space="0" w:color="auto"/>
              <w:right w:val="single" w:sz="12" w:space="0" w:color="auto"/>
            </w:tcBorders>
            <w:shd w:val="clear" w:color="auto" w:fill="auto"/>
          </w:tcPr>
          <w:p w14:paraId="66A7B57D" w14:textId="77777777" w:rsidR="00150BEE" w:rsidRPr="00A118B5" w:rsidRDefault="00150BEE" w:rsidP="00326699">
            <w:r w:rsidRPr="00A118B5">
              <w:t>3</w:t>
            </w:r>
          </w:p>
        </w:tc>
      </w:tr>
      <w:tr w:rsidR="00150BEE" w:rsidRPr="00211CA3" w14:paraId="6868AF2A" w14:textId="77777777" w:rsidTr="001C6E42">
        <w:tc>
          <w:tcPr>
            <w:tcW w:w="5941" w:type="dxa"/>
            <w:tcBorders>
              <w:top w:val="single" w:sz="12" w:space="0" w:color="auto"/>
              <w:left w:val="single" w:sz="12" w:space="0" w:color="auto"/>
              <w:bottom w:val="single" w:sz="12" w:space="0" w:color="auto"/>
              <w:right w:val="nil"/>
            </w:tcBorders>
            <w:shd w:val="clear" w:color="auto" w:fill="D0CECE"/>
          </w:tcPr>
          <w:p w14:paraId="259F7DA6" w14:textId="77777777" w:rsidR="00150BEE" w:rsidRPr="00A118B5" w:rsidRDefault="00150BEE" w:rsidP="00326699">
            <w:pPr>
              <w:rPr>
                <w:b/>
              </w:rPr>
            </w:pPr>
            <w:r w:rsidRPr="00A118B5">
              <w:rPr>
                <w:b/>
              </w:rPr>
              <w:t>TOTAAL</w:t>
            </w:r>
          </w:p>
        </w:tc>
        <w:tc>
          <w:tcPr>
            <w:tcW w:w="828" w:type="dxa"/>
            <w:tcBorders>
              <w:top w:val="single" w:sz="12" w:space="0" w:color="auto"/>
              <w:left w:val="nil"/>
              <w:bottom w:val="single" w:sz="12" w:space="0" w:color="auto"/>
            </w:tcBorders>
            <w:shd w:val="clear" w:color="auto" w:fill="D0CECE"/>
          </w:tcPr>
          <w:p w14:paraId="7B427E85" w14:textId="77777777" w:rsidR="00150BEE" w:rsidRPr="00A118B5" w:rsidRDefault="00150BEE" w:rsidP="00326699">
            <w:pPr>
              <w:rPr>
                <w:b/>
              </w:rPr>
            </w:pPr>
          </w:p>
        </w:tc>
        <w:tc>
          <w:tcPr>
            <w:tcW w:w="928" w:type="dxa"/>
            <w:tcBorders>
              <w:top w:val="single" w:sz="12" w:space="0" w:color="auto"/>
              <w:bottom w:val="single" w:sz="12" w:space="0" w:color="auto"/>
              <w:right w:val="single" w:sz="12" w:space="0" w:color="auto"/>
            </w:tcBorders>
            <w:shd w:val="clear" w:color="auto" w:fill="D0CECE"/>
          </w:tcPr>
          <w:p w14:paraId="5AB09F43" w14:textId="04E80A4F" w:rsidR="00150BEE" w:rsidRPr="00A118B5" w:rsidRDefault="00150BEE" w:rsidP="00326699">
            <w:pPr>
              <w:rPr>
                <w:b/>
              </w:rPr>
            </w:pPr>
            <w:r>
              <w:rPr>
                <w:b/>
              </w:rPr>
              <w:t>4</w:t>
            </w:r>
          </w:p>
        </w:tc>
      </w:tr>
    </w:tbl>
    <w:p w14:paraId="7408E3CE" w14:textId="77777777" w:rsidR="009A0711" w:rsidRDefault="009A0711" w:rsidP="00CD7B6F"/>
    <w:p w14:paraId="4167FEA7" w14:textId="6471925D" w:rsidR="00150BEE" w:rsidRDefault="009A0711" w:rsidP="003F6AD3">
      <w:pPr>
        <w:ind w:firstLine="227"/>
      </w:pPr>
      <w:r>
        <w:t>V</w:t>
      </w:r>
      <w:r w:rsidR="00150BEE" w:rsidRPr="00A118B5">
        <w:t xml:space="preserve">erandering sinds 2015: neutraal = </w:t>
      </w:r>
      <w:r w:rsidR="00150BEE" w:rsidRPr="00A118B5">
        <w:sym w:font="Wingdings" w:char="F0E8"/>
      </w:r>
    </w:p>
    <w:p w14:paraId="26D9331F" w14:textId="0EC95072" w:rsidR="00CE37B2" w:rsidRDefault="00CE37B2" w:rsidP="00CD7B6F"/>
    <w:p w14:paraId="5C1FD870" w14:textId="77777777" w:rsidR="00CE37B2" w:rsidRPr="00A118B5" w:rsidRDefault="00CE37B2" w:rsidP="00CD7B6F"/>
    <w:p w14:paraId="1FEDA572" w14:textId="27AD202F" w:rsidR="00150BEE" w:rsidRPr="0012785D" w:rsidRDefault="009A0711" w:rsidP="00CB0EFF">
      <w:pPr>
        <w:pStyle w:val="Heading2"/>
        <w:numPr>
          <w:ilvl w:val="1"/>
          <w:numId w:val="9"/>
        </w:numPr>
        <w:tabs>
          <w:tab w:val="left" w:pos="-1162"/>
          <w:tab w:val="left" w:pos="0"/>
        </w:tabs>
        <w:spacing w:line="240" w:lineRule="auto"/>
      </w:pPr>
      <w:r>
        <w:lastRenderedPageBreak/>
        <w:t xml:space="preserve">             </w:t>
      </w:r>
      <w:bookmarkStart w:id="31" w:name="_Toc491440353"/>
      <w:r w:rsidR="00150BEE" w:rsidRPr="0012785D">
        <w:t>Resultaatgerichtheid en transparantie</w:t>
      </w:r>
      <w:bookmarkEnd w:id="31"/>
    </w:p>
    <w:p w14:paraId="410030E2" w14:textId="39B8B87E" w:rsidR="00150BEE" w:rsidRDefault="00150BEE" w:rsidP="0006021A">
      <w:pPr>
        <w:pStyle w:val="CommentText"/>
        <w:rPr>
          <w:sz w:val="18"/>
          <w:szCs w:val="18"/>
        </w:rPr>
      </w:pPr>
      <w:r>
        <w:rPr>
          <w:sz w:val="18"/>
          <w:szCs w:val="18"/>
        </w:rPr>
        <w:t xml:space="preserve">De WTO is een door leden gedreven organisatie. De leden bepalen waarover onderhandeld wordt, en bestaande akkoorden worden op een door de leden overeengekomen manier gemonitord. Resultaatgerichtheid en transparantie is slechts aan de orde bij de technische assistentie die de WTO verleent. </w:t>
      </w:r>
    </w:p>
    <w:p w14:paraId="73639532" w14:textId="77777777" w:rsidR="00150BEE" w:rsidRDefault="00150BEE" w:rsidP="0006021A">
      <w:pPr>
        <w:pStyle w:val="CommentText"/>
        <w:rPr>
          <w:sz w:val="18"/>
          <w:szCs w:val="18"/>
        </w:rPr>
      </w:pPr>
    </w:p>
    <w:p w14:paraId="5C8AF9BD" w14:textId="2549CF9E" w:rsidR="00150BEE" w:rsidRPr="001269F6" w:rsidRDefault="00150BEE" w:rsidP="0006021A">
      <w:pPr>
        <w:pStyle w:val="CommentText"/>
        <w:rPr>
          <w:sz w:val="18"/>
          <w:szCs w:val="18"/>
          <w:u w:val="single"/>
        </w:rPr>
      </w:pPr>
      <w:r w:rsidRPr="001269F6">
        <w:rPr>
          <w:sz w:val="18"/>
          <w:szCs w:val="18"/>
          <w:u w:val="single"/>
        </w:rPr>
        <w:t>Technische assistentie</w:t>
      </w:r>
    </w:p>
    <w:p w14:paraId="55A31348" w14:textId="21C938E8" w:rsidR="00150BEE" w:rsidRPr="0006021A" w:rsidRDefault="00150BEE" w:rsidP="0006021A">
      <w:pPr>
        <w:pStyle w:val="CommentText"/>
        <w:rPr>
          <w:sz w:val="18"/>
          <w:szCs w:val="18"/>
        </w:rPr>
      </w:pPr>
      <w:r>
        <w:rPr>
          <w:sz w:val="18"/>
          <w:szCs w:val="18"/>
        </w:rPr>
        <w:t>Sinds 2012</w:t>
      </w:r>
      <w:r w:rsidRPr="0006021A">
        <w:rPr>
          <w:sz w:val="18"/>
          <w:szCs w:val="18"/>
        </w:rPr>
        <w:t xml:space="preserve"> werkt de WTO voor de technische assistentie-programma’s op basis van </w:t>
      </w:r>
      <w:r w:rsidRPr="00CB0EFF">
        <w:rPr>
          <w:i/>
          <w:sz w:val="18"/>
          <w:szCs w:val="18"/>
        </w:rPr>
        <w:t>Results Based Management</w:t>
      </w:r>
      <w:r>
        <w:rPr>
          <w:sz w:val="18"/>
          <w:szCs w:val="18"/>
        </w:rPr>
        <w:t xml:space="preserve"> (RBM)</w:t>
      </w:r>
      <w:r w:rsidRPr="0006021A">
        <w:rPr>
          <w:sz w:val="18"/>
          <w:szCs w:val="18"/>
        </w:rPr>
        <w:t xml:space="preserve">, zoals tot uitdrukking komt in de tweejaarlijkse Technische Assistentieplannen. Dit geldt voor zowel de ontwerpfase, het management en de uitvoering van programma’s. Op </w:t>
      </w:r>
      <w:r>
        <w:rPr>
          <w:sz w:val="18"/>
          <w:szCs w:val="18"/>
        </w:rPr>
        <w:t>dit</w:t>
      </w:r>
      <w:r w:rsidRPr="0006021A">
        <w:rPr>
          <w:sz w:val="18"/>
          <w:szCs w:val="18"/>
        </w:rPr>
        <w:t xml:space="preserve"> moment is ook een nieuwe systematiek geïntroduceer</w:t>
      </w:r>
      <w:r>
        <w:rPr>
          <w:sz w:val="18"/>
          <w:szCs w:val="18"/>
        </w:rPr>
        <w:t>d voor Monitoring en Evaluatie.</w:t>
      </w:r>
      <w:r w:rsidRPr="0006021A">
        <w:rPr>
          <w:sz w:val="18"/>
          <w:szCs w:val="18"/>
        </w:rPr>
        <w:t xml:space="preserve"> Zichtbare verbeteringen in resultaten, efficiëntie en </w:t>
      </w:r>
      <w:r w:rsidRPr="0006021A">
        <w:rPr>
          <w:i/>
          <w:sz w:val="18"/>
          <w:szCs w:val="18"/>
        </w:rPr>
        <w:t>accountability</w:t>
      </w:r>
      <w:r w:rsidRPr="0006021A">
        <w:rPr>
          <w:sz w:val="18"/>
          <w:szCs w:val="18"/>
        </w:rPr>
        <w:t xml:space="preserve"> kosten tijd</w:t>
      </w:r>
      <w:r>
        <w:rPr>
          <w:sz w:val="18"/>
          <w:szCs w:val="18"/>
        </w:rPr>
        <w:t>, maar h</w:t>
      </w:r>
      <w:r w:rsidRPr="0006021A">
        <w:rPr>
          <w:sz w:val="18"/>
          <w:szCs w:val="18"/>
        </w:rPr>
        <w:t xml:space="preserve">et is de verwachting dat de organisatie de komende jaren verdere vooruitgang boekt. Hetzelfde geldt voor </w:t>
      </w:r>
      <w:r w:rsidRPr="00CB0EFF">
        <w:rPr>
          <w:i/>
          <w:sz w:val="18"/>
          <w:szCs w:val="18"/>
        </w:rPr>
        <w:t>Result Based Budgeting</w:t>
      </w:r>
      <w:r>
        <w:rPr>
          <w:sz w:val="18"/>
          <w:szCs w:val="18"/>
        </w:rPr>
        <w:t xml:space="preserve"> (</w:t>
      </w:r>
      <w:r w:rsidRPr="0006021A">
        <w:rPr>
          <w:sz w:val="18"/>
          <w:szCs w:val="18"/>
        </w:rPr>
        <w:t>RBB</w:t>
      </w:r>
      <w:r>
        <w:rPr>
          <w:sz w:val="18"/>
          <w:szCs w:val="18"/>
        </w:rPr>
        <w:t xml:space="preserve">). Een groot deel van de vrijwillige bijdragen aan technische-assistentieprogramma’s zijn geoormerkt en zoals eerder </w:t>
      </w:r>
      <w:r w:rsidR="00C63FED">
        <w:rPr>
          <w:sz w:val="18"/>
          <w:szCs w:val="18"/>
        </w:rPr>
        <w:t>genoemd</w:t>
      </w:r>
      <w:r>
        <w:rPr>
          <w:sz w:val="18"/>
          <w:szCs w:val="18"/>
        </w:rPr>
        <w:t xml:space="preserve"> is </w:t>
      </w:r>
      <w:r w:rsidRPr="0006021A">
        <w:rPr>
          <w:sz w:val="18"/>
          <w:szCs w:val="18"/>
        </w:rPr>
        <w:t>de bijdrage ui</w:t>
      </w:r>
      <w:r>
        <w:rPr>
          <w:sz w:val="18"/>
          <w:szCs w:val="18"/>
        </w:rPr>
        <w:t>t het regulier budget beperkt</w:t>
      </w:r>
      <w:r w:rsidRPr="0006021A">
        <w:rPr>
          <w:sz w:val="18"/>
          <w:szCs w:val="18"/>
        </w:rPr>
        <w:t>. Dit zorgt ervoor dat de mogelijkheden tot RBB beperkt zijn, omdat de WTO slechts zeer beperkt vat heeft op de manier waarop zij hun budget voor technische assistentie</w:t>
      </w:r>
      <w:r>
        <w:rPr>
          <w:sz w:val="18"/>
          <w:szCs w:val="18"/>
        </w:rPr>
        <w:t xml:space="preserve"> </w:t>
      </w:r>
      <w:r w:rsidRPr="0006021A">
        <w:rPr>
          <w:sz w:val="18"/>
          <w:szCs w:val="18"/>
        </w:rPr>
        <w:t xml:space="preserve">inzetten. De evaluatie </w:t>
      </w:r>
      <w:r>
        <w:rPr>
          <w:sz w:val="18"/>
          <w:szCs w:val="18"/>
        </w:rPr>
        <w:t>van</w:t>
      </w:r>
      <w:r w:rsidRPr="0006021A">
        <w:rPr>
          <w:sz w:val="18"/>
          <w:szCs w:val="18"/>
        </w:rPr>
        <w:t xml:space="preserve"> Sanaa Consulting geeft </w:t>
      </w:r>
      <w:r>
        <w:rPr>
          <w:sz w:val="18"/>
          <w:szCs w:val="18"/>
        </w:rPr>
        <w:t xml:space="preserve">ook op dit terrein </w:t>
      </w:r>
      <w:r w:rsidRPr="0006021A">
        <w:rPr>
          <w:sz w:val="18"/>
          <w:szCs w:val="18"/>
        </w:rPr>
        <w:t>concrete aanbevelingen die het WTO-secretariaat zal oppakken.</w:t>
      </w:r>
    </w:p>
    <w:p w14:paraId="6DE081E7" w14:textId="77777777" w:rsidR="00150BEE" w:rsidRDefault="00150BEE" w:rsidP="002D5EFE"/>
    <w:p w14:paraId="0663C010" w14:textId="77777777" w:rsidR="00150BEE" w:rsidRPr="00CC4DD8" w:rsidRDefault="00150BEE" w:rsidP="002D5EFE">
      <w:r>
        <w:t xml:space="preserve">De WTO brengt de behaalde resultaten inzichtelijk in kaart, bijvoorbeeld in de tweejaarlijkse strategische plannen. In het logframe dat in dit document is opgenomen wordt de allocatie van het budget per resultaatindicator inzichtelijk gemaakt. Op basis hiervan is ook af te leiden wat elke bijdrage aan technische assistentie van de WTO oplevert. </w:t>
      </w:r>
    </w:p>
    <w:p w14:paraId="62BEC841" w14:textId="77777777" w:rsidR="00150BEE" w:rsidRPr="00CF03B4" w:rsidRDefault="00150BEE" w:rsidP="00062137">
      <w:pPr>
        <w:ind w:left="-802"/>
      </w:pPr>
      <w:r w:rsidRPr="00CF03B4">
        <w:tab/>
      </w:r>
    </w:p>
    <w:p w14:paraId="6C2062A3" w14:textId="1847FDBC" w:rsidR="00150BEE" w:rsidRDefault="00150BEE" w:rsidP="00062137">
      <w:r>
        <w:t>Van de technische assistentie-programma’s van de WTO komen jaarlijkse rapporten uit die de resultaten weergeven op inhoudelijk en financieel gebied. Ook worden vele programma’s op het gebied van technische assistentie en training geëvalueerd. Deze rapporten zijn openbaar en worden volgens een duidelijke methodiek opgesteld.</w:t>
      </w:r>
    </w:p>
    <w:p w14:paraId="56F32243" w14:textId="77777777" w:rsidR="00150BEE" w:rsidRDefault="00150BEE" w:rsidP="0012785D"/>
    <w:p w14:paraId="10D24636" w14:textId="52B4B8DE" w:rsidR="00150BEE" w:rsidRDefault="00150BEE" w:rsidP="00C63FED">
      <w:pPr>
        <w:autoSpaceDE w:val="0"/>
        <w:autoSpaceDN w:val="0"/>
        <w:adjustRightInd w:val="0"/>
        <w:spacing w:line="240" w:lineRule="auto"/>
        <w:rPr>
          <w:rFonts w:cs="Verdana"/>
          <w:szCs w:val="18"/>
        </w:rPr>
      </w:pPr>
      <w:r>
        <w:rPr>
          <w:rFonts w:cs="Verdana"/>
          <w:szCs w:val="18"/>
        </w:rPr>
        <w:t xml:space="preserve">Voor het </w:t>
      </w:r>
      <w:r w:rsidRPr="0012785D">
        <w:rPr>
          <w:rFonts w:cs="Verdana"/>
          <w:i/>
          <w:szCs w:val="18"/>
        </w:rPr>
        <w:t>Aid for Trade</w:t>
      </w:r>
      <w:r>
        <w:rPr>
          <w:rFonts w:cs="Verdana"/>
          <w:szCs w:val="18"/>
        </w:rPr>
        <w:t>-initiatief is er een tweejaarlijks werkplan, waarin een programma en prioriteiten worden uit</w:t>
      </w:r>
      <w:r w:rsidR="00C63FED">
        <w:rPr>
          <w:rFonts w:cs="Verdana"/>
          <w:szCs w:val="18"/>
        </w:rPr>
        <w:t xml:space="preserve">gewerkt voor de mobilisering en </w:t>
      </w:r>
      <w:r>
        <w:rPr>
          <w:rFonts w:cs="Verdana"/>
          <w:szCs w:val="18"/>
        </w:rPr>
        <w:t>effectieve besteding van middelen voor de opbouw van handelscapaciteit in</w:t>
      </w:r>
      <w:r w:rsidR="00C63FED">
        <w:rPr>
          <w:rFonts w:cs="Verdana"/>
          <w:szCs w:val="18"/>
        </w:rPr>
        <w:t xml:space="preserve"> </w:t>
      </w:r>
      <w:r>
        <w:rPr>
          <w:rFonts w:cs="Verdana"/>
          <w:szCs w:val="18"/>
        </w:rPr>
        <w:t>ontwikkelingslanden.</w:t>
      </w:r>
    </w:p>
    <w:p w14:paraId="088F4F32" w14:textId="45868F9F" w:rsidR="00150BEE" w:rsidRPr="00A118B5" w:rsidRDefault="00150BEE"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150BEE" w:rsidRPr="00211CA3" w14:paraId="5FAD6A9D" w14:textId="77777777" w:rsidTr="00B06CE6">
        <w:tc>
          <w:tcPr>
            <w:tcW w:w="6912" w:type="dxa"/>
            <w:tcBorders>
              <w:top w:val="single" w:sz="12" w:space="0" w:color="auto"/>
              <w:left w:val="single" w:sz="12" w:space="0" w:color="auto"/>
              <w:bottom w:val="single" w:sz="12" w:space="0" w:color="auto"/>
            </w:tcBorders>
            <w:shd w:val="clear" w:color="auto" w:fill="D0CECE"/>
          </w:tcPr>
          <w:p w14:paraId="6E82F047" w14:textId="77777777" w:rsidR="00150BEE" w:rsidRPr="00A118B5" w:rsidRDefault="00150BEE" w:rsidP="00382AE3">
            <w:pPr>
              <w:rPr>
                <w:b/>
              </w:rPr>
            </w:pPr>
            <w:r w:rsidRPr="00A118B5">
              <w:rPr>
                <w:b/>
              </w:rPr>
              <w:t>Onderdeel</w:t>
            </w:r>
          </w:p>
        </w:tc>
        <w:tc>
          <w:tcPr>
            <w:tcW w:w="955" w:type="dxa"/>
            <w:tcBorders>
              <w:top w:val="single" w:sz="12" w:space="0" w:color="auto"/>
              <w:bottom w:val="single" w:sz="12" w:space="0" w:color="auto"/>
              <w:right w:val="single" w:sz="12" w:space="0" w:color="auto"/>
            </w:tcBorders>
            <w:shd w:val="clear" w:color="auto" w:fill="D0CECE"/>
          </w:tcPr>
          <w:p w14:paraId="2D2AF7ED" w14:textId="77777777" w:rsidR="00150BEE" w:rsidRPr="00A118B5" w:rsidRDefault="00150BEE" w:rsidP="00382AE3">
            <w:pPr>
              <w:rPr>
                <w:b/>
              </w:rPr>
            </w:pPr>
            <w:r w:rsidRPr="00A118B5">
              <w:rPr>
                <w:b/>
              </w:rPr>
              <w:t>Score</w:t>
            </w:r>
          </w:p>
        </w:tc>
      </w:tr>
      <w:tr w:rsidR="00150BEE" w:rsidRPr="00211CA3" w14:paraId="3809DF58" w14:textId="77777777" w:rsidTr="00382AE3">
        <w:tc>
          <w:tcPr>
            <w:tcW w:w="6912" w:type="dxa"/>
            <w:tcBorders>
              <w:top w:val="single" w:sz="12" w:space="0" w:color="auto"/>
              <w:left w:val="single" w:sz="12" w:space="0" w:color="auto"/>
            </w:tcBorders>
            <w:shd w:val="clear" w:color="auto" w:fill="auto"/>
          </w:tcPr>
          <w:p w14:paraId="7947B9C4" w14:textId="77777777" w:rsidR="00150BEE" w:rsidRPr="00A118B5" w:rsidRDefault="00150BEE" w:rsidP="00382AE3">
            <w:r w:rsidRPr="00A118B5">
              <w:t>RBM en RBB</w:t>
            </w:r>
          </w:p>
        </w:tc>
        <w:tc>
          <w:tcPr>
            <w:tcW w:w="955" w:type="dxa"/>
            <w:tcBorders>
              <w:top w:val="single" w:sz="12" w:space="0" w:color="auto"/>
              <w:right w:val="single" w:sz="12" w:space="0" w:color="auto"/>
            </w:tcBorders>
            <w:shd w:val="clear" w:color="auto" w:fill="auto"/>
          </w:tcPr>
          <w:p w14:paraId="6E3E7547" w14:textId="77777777" w:rsidR="00150BEE" w:rsidRPr="00A118B5" w:rsidRDefault="00150BEE" w:rsidP="00382AE3">
            <w:r w:rsidRPr="00A118B5">
              <w:t>3</w:t>
            </w:r>
          </w:p>
        </w:tc>
      </w:tr>
      <w:tr w:rsidR="00150BEE" w:rsidRPr="00211CA3" w14:paraId="23699EA7" w14:textId="77777777" w:rsidTr="00382AE3">
        <w:tc>
          <w:tcPr>
            <w:tcW w:w="6912" w:type="dxa"/>
            <w:tcBorders>
              <w:left w:val="single" w:sz="12" w:space="0" w:color="auto"/>
            </w:tcBorders>
            <w:shd w:val="clear" w:color="auto" w:fill="auto"/>
          </w:tcPr>
          <w:p w14:paraId="49C047AE" w14:textId="77777777" w:rsidR="00150BEE" w:rsidRPr="00A118B5" w:rsidRDefault="00150BEE" w:rsidP="00382AE3">
            <w:r w:rsidRPr="00A118B5">
              <w:t>Inzichtelijk maken resultaten</w:t>
            </w:r>
          </w:p>
        </w:tc>
        <w:tc>
          <w:tcPr>
            <w:tcW w:w="955" w:type="dxa"/>
            <w:tcBorders>
              <w:right w:val="single" w:sz="12" w:space="0" w:color="auto"/>
            </w:tcBorders>
            <w:shd w:val="clear" w:color="auto" w:fill="auto"/>
          </w:tcPr>
          <w:p w14:paraId="307D3B9E" w14:textId="77777777" w:rsidR="00150BEE" w:rsidRPr="00A118B5" w:rsidRDefault="00150BEE" w:rsidP="00382AE3">
            <w:r w:rsidRPr="00A118B5">
              <w:t>3</w:t>
            </w:r>
          </w:p>
        </w:tc>
      </w:tr>
      <w:tr w:rsidR="00150BEE" w:rsidRPr="00211CA3" w14:paraId="4F126E01" w14:textId="77777777" w:rsidTr="00382AE3">
        <w:tc>
          <w:tcPr>
            <w:tcW w:w="6912" w:type="dxa"/>
            <w:tcBorders>
              <w:left w:val="single" w:sz="12" w:space="0" w:color="auto"/>
            </w:tcBorders>
            <w:shd w:val="clear" w:color="auto" w:fill="auto"/>
          </w:tcPr>
          <w:p w14:paraId="6F420729" w14:textId="77777777" w:rsidR="00150BEE" w:rsidRPr="00A118B5" w:rsidRDefault="00150BEE" w:rsidP="00382AE3">
            <w:r w:rsidRPr="00A118B5">
              <w:t>Inzichtelijk maken allocatie van middelen (o.a. IATI)</w:t>
            </w:r>
          </w:p>
        </w:tc>
        <w:tc>
          <w:tcPr>
            <w:tcW w:w="955" w:type="dxa"/>
            <w:tcBorders>
              <w:right w:val="single" w:sz="12" w:space="0" w:color="auto"/>
            </w:tcBorders>
            <w:shd w:val="clear" w:color="auto" w:fill="auto"/>
          </w:tcPr>
          <w:p w14:paraId="2DE417D9" w14:textId="22E74BAB" w:rsidR="00150BEE" w:rsidRPr="00A118B5" w:rsidRDefault="00150BEE" w:rsidP="00382AE3">
            <w:r>
              <w:t>3</w:t>
            </w:r>
          </w:p>
        </w:tc>
      </w:tr>
      <w:tr w:rsidR="00150BEE" w:rsidRPr="00211CA3" w14:paraId="6A2C75BE" w14:textId="77777777" w:rsidTr="00382AE3">
        <w:tc>
          <w:tcPr>
            <w:tcW w:w="6912" w:type="dxa"/>
            <w:tcBorders>
              <w:left w:val="single" w:sz="12" w:space="0" w:color="auto"/>
              <w:bottom w:val="single" w:sz="12" w:space="0" w:color="auto"/>
            </w:tcBorders>
            <w:shd w:val="clear" w:color="auto" w:fill="auto"/>
          </w:tcPr>
          <w:p w14:paraId="6E981BDB" w14:textId="77777777" w:rsidR="00150BEE" w:rsidRPr="00A118B5" w:rsidRDefault="00150BEE" w:rsidP="00382AE3">
            <w:r w:rsidRPr="00A118B5">
              <w:t>Communicatie over resultaten</w:t>
            </w:r>
          </w:p>
        </w:tc>
        <w:tc>
          <w:tcPr>
            <w:tcW w:w="955" w:type="dxa"/>
            <w:tcBorders>
              <w:bottom w:val="single" w:sz="12" w:space="0" w:color="auto"/>
              <w:right w:val="single" w:sz="12" w:space="0" w:color="auto"/>
            </w:tcBorders>
            <w:shd w:val="clear" w:color="auto" w:fill="auto"/>
          </w:tcPr>
          <w:p w14:paraId="7C5F7152" w14:textId="77777777" w:rsidR="00150BEE" w:rsidRPr="00A118B5" w:rsidRDefault="00150BEE" w:rsidP="00382AE3">
            <w:r w:rsidRPr="00A118B5">
              <w:t>3</w:t>
            </w:r>
          </w:p>
        </w:tc>
      </w:tr>
      <w:tr w:rsidR="00150BEE" w:rsidRPr="00211CA3" w14:paraId="7F746425" w14:textId="77777777" w:rsidTr="00B06CE6">
        <w:tc>
          <w:tcPr>
            <w:tcW w:w="6912" w:type="dxa"/>
            <w:tcBorders>
              <w:top w:val="single" w:sz="12" w:space="0" w:color="auto"/>
              <w:left w:val="single" w:sz="12" w:space="0" w:color="auto"/>
              <w:bottom w:val="single" w:sz="12" w:space="0" w:color="auto"/>
            </w:tcBorders>
            <w:shd w:val="clear" w:color="auto" w:fill="D0CECE"/>
          </w:tcPr>
          <w:p w14:paraId="73B5DC9E" w14:textId="77777777" w:rsidR="00150BEE" w:rsidRPr="00A118B5" w:rsidRDefault="00150BEE" w:rsidP="00382AE3">
            <w:pPr>
              <w:rPr>
                <w:b/>
              </w:rPr>
            </w:pPr>
            <w:r w:rsidRPr="00A118B5">
              <w:rPr>
                <w:b/>
              </w:rPr>
              <w:t>TOTAAL</w:t>
            </w:r>
          </w:p>
        </w:tc>
        <w:tc>
          <w:tcPr>
            <w:tcW w:w="955" w:type="dxa"/>
            <w:tcBorders>
              <w:top w:val="single" w:sz="12" w:space="0" w:color="auto"/>
              <w:bottom w:val="single" w:sz="12" w:space="0" w:color="auto"/>
              <w:right w:val="single" w:sz="12" w:space="0" w:color="auto"/>
            </w:tcBorders>
            <w:shd w:val="clear" w:color="auto" w:fill="D0CECE"/>
          </w:tcPr>
          <w:p w14:paraId="152B67E1" w14:textId="77777777" w:rsidR="00150BEE" w:rsidRPr="00A118B5" w:rsidRDefault="00150BEE" w:rsidP="00382AE3">
            <w:pPr>
              <w:rPr>
                <w:b/>
              </w:rPr>
            </w:pPr>
            <w:r w:rsidRPr="00A118B5">
              <w:rPr>
                <w:b/>
              </w:rPr>
              <w:t>3</w:t>
            </w:r>
          </w:p>
        </w:tc>
      </w:tr>
    </w:tbl>
    <w:p w14:paraId="6571A87D" w14:textId="77777777" w:rsidR="003F6AD3" w:rsidRDefault="003F6AD3" w:rsidP="00B54564"/>
    <w:p w14:paraId="0D97990E" w14:textId="7BD9968D" w:rsidR="00150BEE" w:rsidRPr="00A118B5" w:rsidRDefault="00150BEE" w:rsidP="003F6AD3">
      <w:pPr>
        <w:ind w:firstLine="227"/>
        <w:rPr>
          <w:b/>
        </w:rPr>
      </w:pPr>
      <w:r w:rsidRPr="00A118B5">
        <w:t xml:space="preserve">Verandering sinds 2015: positief =  </w:t>
      </w:r>
      <w:r w:rsidRPr="00A118B5">
        <w:sym w:font="Wingdings" w:char="F0E9"/>
      </w:r>
    </w:p>
    <w:p w14:paraId="18F5E8B5" w14:textId="77777777" w:rsidR="00150BEE" w:rsidRPr="00A118B5" w:rsidRDefault="00150BEE" w:rsidP="00F74AC4"/>
    <w:p w14:paraId="665516D0" w14:textId="70C71B6A" w:rsidR="00150BEE" w:rsidRPr="00A118B5" w:rsidRDefault="009A0711" w:rsidP="00AF6A3F">
      <w:pPr>
        <w:pStyle w:val="Heading2"/>
        <w:numPr>
          <w:ilvl w:val="1"/>
          <w:numId w:val="9"/>
        </w:numPr>
        <w:tabs>
          <w:tab w:val="left" w:pos="-1162"/>
          <w:tab w:val="left" w:pos="0"/>
        </w:tabs>
        <w:spacing w:line="240" w:lineRule="auto"/>
        <w:rPr>
          <w:lang w:val="en-US"/>
        </w:rPr>
      </w:pPr>
      <w:r>
        <w:t xml:space="preserve">             </w:t>
      </w:r>
      <w:bookmarkStart w:id="32" w:name="_Toc491440354"/>
      <w:r w:rsidR="00150BEE" w:rsidRPr="00A118B5">
        <w:t>Partnerschappen en samenwerking</w:t>
      </w:r>
      <w:bookmarkEnd w:id="32"/>
    </w:p>
    <w:p w14:paraId="2AF0C552" w14:textId="2FDD72DA" w:rsidR="00150BEE" w:rsidRDefault="00150BEE" w:rsidP="00E35D96">
      <w:r>
        <w:t xml:space="preserve">De WTO heeft via haar programma’s banden met verschillende (internationale) organisaties. </w:t>
      </w:r>
      <w:r w:rsidRPr="00855611">
        <w:t xml:space="preserve">Deze partners zijn onder andere </w:t>
      </w:r>
      <w:r>
        <w:t xml:space="preserve">de Internationale Arbeidsorganisatie, </w:t>
      </w:r>
      <w:r w:rsidRPr="00855611">
        <w:t>het I</w:t>
      </w:r>
      <w:r>
        <w:t xml:space="preserve">nternationaal </w:t>
      </w:r>
      <w:r w:rsidRPr="00855611">
        <w:t>M</w:t>
      </w:r>
      <w:r>
        <w:t xml:space="preserve">onetair </w:t>
      </w:r>
      <w:r w:rsidRPr="00855611">
        <w:t>F</w:t>
      </w:r>
      <w:r>
        <w:t>onds,</w:t>
      </w:r>
      <w:r w:rsidRPr="00E35D96">
        <w:t xml:space="preserve"> </w:t>
      </w:r>
      <w:r w:rsidRPr="00C63FED">
        <w:rPr>
          <w:i/>
        </w:rPr>
        <w:t>United Nations Development Programme</w:t>
      </w:r>
      <w:r w:rsidRPr="00E35D96">
        <w:t xml:space="preserve"> (UNDP)</w:t>
      </w:r>
      <w:r>
        <w:t xml:space="preserve"> en de </w:t>
      </w:r>
      <w:r w:rsidRPr="00E35D96">
        <w:t>Wereldbank</w:t>
      </w:r>
      <w:r>
        <w:t>.</w:t>
      </w:r>
      <w:r w:rsidRPr="00E35D96">
        <w:t xml:space="preserve"> </w:t>
      </w:r>
      <w:r>
        <w:t xml:space="preserve">Zij werken vooral op onderzoeksgebied met elkaar samen. Een belangrijke partner is verder de </w:t>
      </w:r>
      <w:r w:rsidRPr="00C63FED">
        <w:rPr>
          <w:i/>
        </w:rPr>
        <w:t>United Nations Conference on Trade and Development</w:t>
      </w:r>
      <w:r>
        <w:t xml:space="preserve"> (UNCTAD), waarmee het een gezamenlijke dochterorganisatie heeft, </w:t>
      </w:r>
      <w:r>
        <w:lastRenderedPageBreak/>
        <w:t xml:space="preserve">het International Trade Centre (ITC) voor de uitvoering van </w:t>
      </w:r>
      <w:r w:rsidR="00C63FED">
        <w:t>handel gerelateerde</w:t>
      </w:r>
      <w:r>
        <w:t xml:space="preserve"> technische assistentie. Samenwerking vindt met name op technisch niveau plaats, met het doel data en analyses te delen o</w:t>
      </w:r>
      <w:r w:rsidR="00CB0EFF">
        <w:t>f gezamenlijk onderzoek te doen</w:t>
      </w:r>
      <w:r>
        <w:t>. Een voorbeeld van recente samenwerking is het gezamenlijke rapport dat WTO met IMF en Wereldbank heeft geschreven, met de titel “</w:t>
      </w:r>
      <w:r w:rsidRPr="00130028">
        <w:rPr>
          <w:i/>
        </w:rPr>
        <w:t>Making trade an engine for growth for all</w:t>
      </w:r>
      <w:r>
        <w:t>”.</w:t>
      </w:r>
    </w:p>
    <w:p w14:paraId="5564DBE5" w14:textId="77777777" w:rsidR="00150BEE" w:rsidRDefault="00150BEE" w:rsidP="00E35D96"/>
    <w:p w14:paraId="6E708196" w14:textId="67BE41AF" w:rsidR="00150BEE" w:rsidRDefault="00150BEE" w:rsidP="00E35D96">
      <w:r>
        <w:t xml:space="preserve">De samenwerking is in enkele gevallen vastgelegd in een Memorandum of Understanding (zoals met UNCTAD), maar de relatie met bijvoorbeeld ITC is een juridische relatie. Maatschappelijke partijen, zoals (internationale) vakbonden en NGO’s worden actief betrokken bij het werk van de WTO, bijvoorbeeld door het jaarlijkse voor iedereen toegankelijk evenement Public Forum. Daarnaast biedt de WTO </w:t>
      </w:r>
      <w:r w:rsidRPr="00130028">
        <w:rPr>
          <w:i/>
        </w:rPr>
        <w:t>en marge de</w:t>
      </w:r>
      <w:r>
        <w:t xml:space="preserve"> Ministeriële Conferenties ruimte voor het organiseren van side-events.</w:t>
      </w:r>
      <w:r w:rsidR="00CB0EFF">
        <w:t xml:space="preserve"> </w:t>
      </w:r>
    </w:p>
    <w:p w14:paraId="60B1F0A4" w14:textId="77777777" w:rsidR="00150BEE" w:rsidRDefault="00150BEE" w:rsidP="00E35D96"/>
    <w:p w14:paraId="2321CF8D" w14:textId="50B0D9AB" w:rsidR="00150BEE" w:rsidRPr="0012785D" w:rsidRDefault="00150BEE" w:rsidP="00E35D96">
      <w:pPr>
        <w:rPr>
          <w:szCs w:val="18"/>
          <w:u w:val="single"/>
        </w:rPr>
      </w:pPr>
      <w:r w:rsidRPr="0012785D">
        <w:rPr>
          <w:szCs w:val="18"/>
          <w:u w:val="single"/>
        </w:rPr>
        <w:t xml:space="preserve">Technische assistentie </w:t>
      </w:r>
    </w:p>
    <w:p w14:paraId="2219D5B6" w14:textId="72AC3094" w:rsidR="00150BEE" w:rsidRPr="00B10878" w:rsidRDefault="00150BEE" w:rsidP="00E35D96">
      <w:pPr>
        <w:rPr>
          <w:szCs w:val="18"/>
        </w:rPr>
      </w:pPr>
      <w:r>
        <w:rPr>
          <w:szCs w:val="18"/>
        </w:rPr>
        <w:t>Voor haar technische-</w:t>
      </w:r>
      <w:r w:rsidRPr="00B10878">
        <w:rPr>
          <w:szCs w:val="18"/>
        </w:rPr>
        <w:t>assistentie</w:t>
      </w:r>
      <w:r>
        <w:rPr>
          <w:szCs w:val="18"/>
        </w:rPr>
        <w:t>programma’s</w:t>
      </w:r>
      <w:r w:rsidRPr="00B10878">
        <w:rPr>
          <w:szCs w:val="18"/>
        </w:rPr>
        <w:t xml:space="preserve"> </w:t>
      </w:r>
      <w:r>
        <w:rPr>
          <w:szCs w:val="18"/>
        </w:rPr>
        <w:t>werkt</w:t>
      </w:r>
      <w:r w:rsidRPr="00B10878">
        <w:rPr>
          <w:szCs w:val="18"/>
        </w:rPr>
        <w:t xml:space="preserve"> de WTO </w:t>
      </w:r>
      <w:r>
        <w:rPr>
          <w:szCs w:val="18"/>
        </w:rPr>
        <w:t>nauw samen met verschillende veelal regionale partners.</w:t>
      </w:r>
      <w:r w:rsidRPr="00B10878">
        <w:rPr>
          <w:szCs w:val="18"/>
        </w:rPr>
        <w:t xml:space="preserve"> </w:t>
      </w:r>
      <w:r w:rsidRPr="00B10878">
        <w:rPr>
          <w:rStyle w:val="A6"/>
          <w:sz w:val="18"/>
          <w:szCs w:val="18"/>
        </w:rPr>
        <w:t>Het belang van deze partnerschappen neemt toe; ongevee</w:t>
      </w:r>
      <w:r>
        <w:rPr>
          <w:rStyle w:val="A6"/>
          <w:sz w:val="18"/>
          <w:szCs w:val="18"/>
        </w:rPr>
        <w:t>r de helft van de fysieke (niet-</w:t>
      </w:r>
      <w:r w:rsidRPr="00B10878">
        <w:rPr>
          <w:rStyle w:val="A6"/>
          <w:sz w:val="18"/>
          <w:szCs w:val="18"/>
        </w:rPr>
        <w:t xml:space="preserve">digitale) trainingen die de WTO aanbiedt worden uitgevoerd in samenwerking met partnerorganisaties. Dit zijn bijvoorbeeld universiteiten of economische missies van de Verenigde Naties. </w:t>
      </w:r>
    </w:p>
    <w:p w14:paraId="0889BBC8" w14:textId="77777777" w:rsidR="00150BEE" w:rsidRPr="00A14D85" w:rsidRDefault="00150BEE" w:rsidP="00A14D85">
      <w:r>
        <w:tab/>
      </w:r>
      <w:r>
        <w:tab/>
      </w:r>
      <w:r>
        <w:tab/>
      </w:r>
      <w:r>
        <w:tab/>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150BEE" w:rsidRPr="00B10878" w14:paraId="3DF554CE" w14:textId="77777777" w:rsidTr="00B06CE6">
        <w:tc>
          <w:tcPr>
            <w:tcW w:w="6912" w:type="dxa"/>
            <w:tcBorders>
              <w:top w:val="single" w:sz="12" w:space="0" w:color="auto"/>
              <w:left w:val="single" w:sz="12" w:space="0" w:color="auto"/>
              <w:bottom w:val="single" w:sz="12" w:space="0" w:color="auto"/>
            </w:tcBorders>
            <w:shd w:val="clear" w:color="auto" w:fill="D0CECE"/>
          </w:tcPr>
          <w:p w14:paraId="5E18664B" w14:textId="77777777" w:rsidR="00150BEE" w:rsidRPr="00B10878" w:rsidRDefault="00150BEE" w:rsidP="00382AE3">
            <w:pPr>
              <w:rPr>
                <w:b/>
              </w:rPr>
            </w:pPr>
            <w:r w:rsidRPr="00B10878">
              <w:rPr>
                <w:b/>
              </w:rPr>
              <w:t>Onderdeel</w:t>
            </w:r>
          </w:p>
        </w:tc>
        <w:tc>
          <w:tcPr>
            <w:tcW w:w="955" w:type="dxa"/>
            <w:tcBorders>
              <w:top w:val="single" w:sz="12" w:space="0" w:color="auto"/>
              <w:bottom w:val="single" w:sz="12" w:space="0" w:color="auto"/>
              <w:right w:val="single" w:sz="12" w:space="0" w:color="auto"/>
            </w:tcBorders>
            <w:shd w:val="clear" w:color="auto" w:fill="D0CECE"/>
          </w:tcPr>
          <w:p w14:paraId="08BB448D" w14:textId="77777777" w:rsidR="00150BEE" w:rsidRPr="00B10878" w:rsidRDefault="00150BEE" w:rsidP="00382AE3">
            <w:pPr>
              <w:rPr>
                <w:b/>
              </w:rPr>
            </w:pPr>
            <w:r w:rsidRPr="00B10878">
              <w:rPr>
                <w:b/>
              </w:rPr>
              <w:t>Score</w:t>
            </w:r>
          </w:p>
        </w:tc>
      </w:tr>
      <w:tr w:rsidR="00150BEE" w:rsidRPr="00B10878" w14:paraId="371C8D5E" w14:textId="77777777" w:rsidTr="00382AE3">
        <w:tc>
          <w:tcPr>
            <w:tcW w:w="6912" w:type="dxa"/>
            <w:tcBorders>
              <w:top w:val="single" w:sz="12" w:space="0" w:color="auto"/>
              <w:left w:val="single" w:sz="12" w:space="0" w:color="auto"/>
            </w:tcBorders>
            <w:shd w:val="clear" w:color="auto" w:fill="auto"/>
          </w:tcPr>
          <w:p w14:paraId="4E178698" w14:textId="77777777" w:rsidR="00150BEE" w:rsidRPr="00B10878" w:rsidRDefault="00150BEE" w:rsidP="00382AE3">
            <w:r w:rsidRPr="00B10878">
              <w:t>Partnerschappen met andere organisaties</w:t>
            </w:r>
          </w:p>
        </w:tc>
        <w:tc>
          <w:tcPr>
            <w:tcW w:w="955" w:type="dxa"/>
            <w:tcBorders>
              <w:top w:val="single" w:sz="12" w:space="0" w:color="auto"/>
              <w:right w:val="single" w:sz="12" w:space="0" w:color="auto"/>
            </w:tcBorders>
            <w:shd w:val="clear" w:color="auto" w:fill="auto"/>
          </w:tcPr>
          <w:p w14:paraId="22A6BFEB" w14:textId="4AEC116D" w:rsidR="00150BEE" w:rsidRPr="00B10878" w:rsidRDefault="00150BEE" w:rsidP="00382AE3">
            <w:r>
              <w:t>3</w:t>
            </w:r>
          </w:p>
        </w:tc>
      </w:tr>
      <w:tr w:rsidR="00150BEE" w:rsidRPr="00B10878" w14:paraId="5A180915" w14:textId="77777777" w:rsidTr="00382AE3">
        <w:tc>
          <w:tcPr>
            <w:tcW w:w="6912" w:type="dxa"/>
            <w:tcBorders>
              <w:left w:val="single" w:sz="12" w:space="0" w:color="auto"/>
            </w:tcBorders>
            <w:shd w:val="clear" w:color="auto" w:fill="auto"/>
          </w:tcPr>
          <w:p w14:paraId="6343FA11" w14:textId="77777777" w:rsidR="00150BEE" w:rsidRPr="00B10878" w:rsidRDefault="00150BEE" w:rsidP="00382AE3">
            <w:r w:rsidRPr="00B10878">
              <w:t>Visie en rol partnerschappen</w:t>
            </w:r>
          </w:p>
        </w:tc>
        <w:tc>
          <w:tcPr>
            <w:tcW w:w="955" w:type="dxa"/>
            <w:tcBorders>
              <w:right w:val="single" w:sz="12" w:space="0" w:color="auto"/>
            </w:tcBorders>
            <w:shd w:val="clear" w:color="auto" w:fill="auto"/>
          </w:tcPr>
          <w:p w14:paraId="11196D40" w14:textId="77777777" w:rsidR="00150BEE" w:rsidRPr="00B10878" w:rsidRDefault="00150BEE" w:rsidP="00382AE3">
            <w:r w:rsidRPr="00B10878">
              <w:t>3</w:t>
            </w:r>
          </w:p>
        </w:tc>
      </w:tr>
      <w:tr w:rsidR="00150BEE" w:rsidRPr="00B10878" w14:paraId="77A7B6F8" w14:textId="77777777" w:rsidTr="00382AE3">
        <w:tc>
          <w:tcPr>
            <w:tcW w:w="6912" w:type="dxa"/>
            <w:tcBorders>
              <w:left w:val="single" w:sz="12" w:space="0" w:color="auto"/>
            </w:tcBorders>
            <w:shd w:val="clear" w:color="auto" w:fill="auto"/>
          </w:tcPr>
          <w:p w14:paraId="555F13FF" w14:textId="77777777" w:rsidR="00150BEE" w:rsidRPr="00B10878" w:rsidRDefault="00150BEE" w:rsidP="00C447C0">
            <w:r w:rsidRPr="00B10878">
              <w:t>Aansluiting partnerschappen met andere actoren</w:t>
            </w:r>
          </w:p>
        </w:tc>
        <w:tc>
          <w:tcPr>
            <w:tcW w:w="955" w:type="dxa"/>
            <w:tcBorders>
              <w:right w:val="single" w:sz="12" w:space="0" w:color="auto"/>
            </w:tcBorders>
            <w:shd w:val="clear" w:color="auto" w:fill="auto"/>
          </w:tcPr>
          <w:p w14:paraId="50DB3770" w14:textId="77777777" w:rsidR="00150BEE" w:rsidRPr="00B10878" w:rsidRDefault="00150BEE" w:rsidP="00382AE3">
            <w:r w:rsidRPr="00B10878">
              <w:t>3</w:t>
            </w:r>
          </w:p>
        </w:tc>
      </w:tr>
      <w:tr w:rsidR="00150BEE" w:rsidRPr="00B10878" w14:paraId="66610C1E" w14:textId="77777777" w:rsidTr="00382AE3">
        <w:tc>
          <w:tcPr>
            <w:tcW w:w="6912" w:type="dxa"/>
            <w:tcBorders>
              <w:left w:val="single" w:sz="12" w:space="0" w:color="auto"/>
            </w:tcBorders>
            <w:shd w:val="clear" w:color="auto" w:fill="auto"/>
          </w:tcPr>
          <w:p w14:paraId="3FFC6A0E" w14:textId="77777777" w:rsidR="00150BEE" w:rsidRPr="00B10878" w:rsidRDefault="00150BEE" w:rsidP="00C447C0">
            <w:r w:rsidRPr="00B10878">
              <w:t>Samenwerking en coördinatie overige actoren</w:t>
            </w:r>
          </w:p>
        </w:tc>
        <w:tc>
          <w:tcPr>
            <w:tcW w:w="955" w:type="dxa"/>
            <w:tcBorders>
              <w:right w:val="single" w:sz="12" w:space="0" w:color="auto"/>
            </w:tcBorders>
            <w:shd w:val="clear" w:color="auto" w:fill="auto"/>
          </w:tcPr>
          <w:p w14:paraId="1C374A51" w14:textId="77777777" w:rsidR="00150BEE" w:rsidRPr="00B10878" w:rsidRDefault="00150BEE" w:rsidP="00382AE3">
            <w:r w:rsidRPr="00B10878">
              <w:t>2</w:t>
            </w:r>
          </w:p>
        </w:tc>
      </w:tr>
      <w:tr w:rsidR="00150BEE" w:rsidRPr="00B10878" w14:paraId="7426AC65" w14:textId="77777777" w:rsidTr="00B06CE6">
        <w:tc>
          <w:tcPr>
            <w:tcW w:w="6912" w:type="dxa"/>
            <w:tcBorders>
              <w:top w:val="single" w:sz="12" w:space="0" w:color="auto"/>
              <w:left w:val="single" w:sz="12" w:space="0" w:color="auto"/>
              <w:bottom w:val="single" w:sz="12" w:space="0" w:color="auto"/>
            </w:tcBorders>
            <w:shd w:val="clear" w:color="auto" w:fill="D0CECE"/>
          </w:tcPr>
          <w:p w14:paraId="6FC0F150" w14:textId="77777777" w:rsidR="00150BEE" w:rsidRPr="00B10878" w:rsidRDefault="00150BEE" w:rsidP="00382AE3">
            <w:pPr>
              <w:rPr>
                <w:b/>
              </w:rPr>
            </w:pPr>
            <w:r w:rsidRPr="00B10878">
              <w:rPr>
                <w:b/>
              </w:rPr>
              <w:t>TOTAAL</w:t>
            </w:r>
          </w:p>
        </w:tc>
        <w:tc>
          <w:tcPr>
            <w:tcW w:w="955" w:type="dxa"/>
            <w:tcBorders>
              <w:top w:val="single" w:sz="12" w:space="0" w:color="auto"/>
              <w:bottom w:val="single" w:sz="12" w:space="0" w:color="auto"/>
              <w:right w:val="single" w:sz="12" w:space="0" w:color="auto"/>
            </w:tcBorders>
            <w:shd w:val="clear" w:color="auto" w:fill="D0CECE"/>
          </w:tcPr>
          <w:p w14:paraId="577EBE1D" w14:textId="77777777" w:rsidR="00150BEE" w:rsidRPr="00B10878" w:rsidRDefault="00150BEE" w:rsidP="00382AE3">
            <w:pPr>
              <w:rPr>
                <w:b/>
              </w:rPr>
            </w:pPr>
            <w:r>
              <w:rPr>
                <w:b/>
              </w:rPr>
              <w:t>3</w:t>
            </w:r>
          </w:p>
        </w:tc>
      </w:tr>
    </w:tbl>
    <w:p w14:paraId="55107D20" w14:textId="77777777" w:rsidR="003F6AD3" w:rsidRDefault="003F6AD3" w:rsidP="003412ED"/>
    <w:p w14:paraId="0E290002" w14:textId="451D37E4" w:rsidR="00CE37B2" w:rsidRDefault="00150BEE" w:rsidP="00687CFF">
      <w:pPr>
        <w:ind w:firstLine="227"/>
      </w:pPr>
      <w:r w:rsidRPr="00B10878">
        <w:t>Vera</w:t>
      </w:r>
      <w:r>
        <w:t>ndering sinds 2015: n</w:t>
      </w:r>
      <w:r w:rsidRPr="00B10878">
        <w:t xml:space="preserve">eutraal = </w:t>
      </w:r>
      <w:r w:rsidRPr="00B10878">
        <w:sym w:font="Wingdings" w:char="F0E8"/>
      </w:r>
    </w:p>
    <w:p w14:paraId="0CF60537" w14:textId="77777777" w:rsidR="00687CFF" w:rsidRPr="00687CFF" w:rsidRDefault="00687CFF" w:rsidP="00687CFF">
      <w:pPr>
        <w:ind w:firstLine="227"/>
      </w:pPr>
    </w:p>
    <w:p w14:paraId="46B781E8" w14:textId="62E21F1B" w:rsidR="00150BEE" w:rsidRPr="00B10878" w:rsidRDefault="009A0711" w:rsidP="009A0711">
      <w:pPr>
        <w:pStyle w:val="Heading2"/>
        <w:tabs>
          <w:tab w:val="left" w:pos="-1162"/>
          <w:tab w:val="left" w:pos="0"/>
          <w:tab w:val="num" w:pos="1160"/>
        </w:tabs>
        <w:spacing w:line="240" w:lineRule="auto"/>
        <w:ind w:hanging="1162"/>
      </w:pPr>
      <w:bookmarkStart w:id="33" w:name="_Toc410140903"/>
      <w:bookmarkStart w:id="34" w:name="_Toc491440355"/>
      <w:r>
        <w:t>4</w:t>
      </w:r>
      <w:r w:rsidR="00150BEE" w:rsidRPr="00B10878">
        <w:t xml:space="preserve">.4 </w:t>
      </w:r>
      <w:r w:rsidR="00150BEE" w:rsidRPr="00B10878">
        <w:tab/>
        <w:t>Operationeel management</w:t>
      </w:r>
      <w:bookmarkEnd w:id="33"/>
      <w:bookmarkEnd w:id="34"/>
    </w:p>
    <w:p w14:paraId="082DD977" w14:textId="4FB6CF71" w:rsidR="00150BEE" w:rsidRDefault="00150BEE" w:rsidP="00E35D96">
      <w:pPr>
        <w:autoSpaceDE w:val="0"/>
        <w:autoSpaceDN w:val="0"/>
        <w:adjustRightInd w:val="0"/>
        <w:spacing w:line="240" w:lineRule="auto"/>
        <w:rPr>
          <w:rFonts w:cs="Verdana"/>
          <w:szCs w:val="18"/>
        </w:rPr>
      </w:pPr>
      <w:r w:rsidRPr="00B10878">
        <w:rPr>
          <w:rFonts w:cs="Verdana"/>
          <w:szCs w:val="18"/>
        </w:rPr>
        <w:t>De uitvoering van de kerntaken verloopt naar verwachting. Geschillenbeslechting</w:t>
      </w:r>
      <w:r>
        <w:rPr>
          <w:rFonts w:cs="Verdana"/>
          <w:szCs w:val="18"/>
        </w:rPr>
        <w:t xml:space="preserve"> verloopt goed, maar staat onder druk vanwege de hoeveelheid geschillen die worden ingediend. De monitoring van de implementatie van multilaterale </w:t>
      </w:r>
      <w:r w:rsidR="00C63FED">
        <w:rPr>
          <w:rFonts w:cs="Verdana"/>
          <w:szCs w:val="18"/>
        </w:rPr>
        <w:t>handel gerelateerde</w:t>
      </w:r>
      <w:r>
        <w:rPr>
          <w:rFonts w:cs="Verdana"/>
          <w:szCs w:val="18"/>
        </w:rPr>
        <w:t xml:space="preserve"> akkoorden verloopt goed.</w:t>
      </w:r>
    </w:p>
    <w:p w14:paraId="0B13CA0D" w14:textId="77777777" w:rsidR="00150BEE" w:rsidRDefault="00150BEE" w:rsidP="00E35D96">
      <w:pPr>
        <w:autoSpaceDE w:val="0"/>
        <w:autoSpaceDN w:val="0"/>
        <w:adjustRightInd w:val="0"/>
        <w:spacing w:line="240" w:lineRule="auto"/>
        <w:rPr>
          <w:rFonts w:cs="Verdana"/>
          <w:szCs w:val="18"/>
        </w:rPr>
      </w:pPr>
    </w:p>
    <w:p w14:paraId="3F05CD46" w14:textId="6A8927E2" w:rsidR="00150BEE" w:rsidRDefault="00150BEE" w:rsidP="00E35D96">
      <w:pPr>
        <w:autoSpaceDE w:val="0"/>
        <w:autoSpaceDN w:val="0"/>
        <w:adjustRightInd w:val="0"/>
        <w:spacing w:line="240" w:lineRule="auto"/>
        <w:rPr>
          <w:rFonts w:cs="Verdana"/>
          <w:szCs w:val="18"/>
        </w:rPr>
      </w:pPr>
      <w:r>
        <w:rPr>
          <w:rFonts w:cs="Verdana"/>
          <w:szCs w:val="18"/>
        </w:rPr>
        <w:t>De onderhandelingen over het liberaliseren van de handel verlopen stroef. Dat heeft niet te maken met de inzet van het WTO-secretariaat, maar is het gevolg van de hoge mate van politieke gevoeligheid van de onderwerpen op de onderhandelingsagenda. Daarbij neemt de WTO alleen besluiten op basis van consensus, wat met 164 leden een complexe en trage aangelegenheid is. Bij de Ministeriële Conferentie in Bali in 2013 en bij de Ministeriële Conferentie in Nairobi in 2015 zijn deelresultaten bereikt ten aanzien van de Doha-agenda. Dit heeft bij de WTO-leden de hoop aangewakkerd dat deze trend mogelijk kan worden doorgezet bij de Ministeriële Conferentie in Buenos Aires in 2017.</w:t>
      </w:r>
    </w:p>
    <w:p w14:paraId="230F920D" w14:textId="77777777" w:rsidR="00150BEE" w:rsidRDefault="00150BEE" w:rsidP="00E35D96">
      <w:pPr>
        <w:autoSpaceDE w:val="0"/>
        <w:autoSpaceDN w:val="0"/>
        <w:adjustRightInd w:val="0"/>
        <w:spacing w:line="240" w:lineRule="auto"/>
        <w:rPr>
          <w:rFonts w:cs="Verdana"/>
          <w:szCs w:val="18"/>
        </w:rPr>
      </w:pPr>
    </w:p>
    <w:p w14:paraId="434DAFF5" w14:textId="523A779A" w:rsidR="00150BEE" w:rsidRPr="00C117B5" w:rsidRDefault="00150BEE" w:rsidP="00C117B5">
      <w:pPr>
        <w:autoSpaceDE w:val="0"/>
        <w:autoSpaceDN w:val="0"/>
        <w:adjustRightInd w:val="0"/>
        <w:spacing w:line="240" w:lineRule="auto"/>
        <w:rPr>
          <w:rFonts w:cs="Verdana"/>
          <w:szCs w:val="18"/>
        </w:rPr>
      </w:pPr>
      <w:r>
        <w:rPr>
          <w:rFonts w:cs="Verdana"/>
          <w:szCs w:val="18"/>
        </w:rPr>
        <w:t>De effectiviteit van het secretariaat en de verschillende bestuursorganen is goed. Het WTO-secretariaat heeft vele experts in huis op de verschillende relevante dossiers. Het secretariaat biedt voldoende opleidingsmogelijkheden om het niveau van haar medewerkers op peil te houden en te verbeteren; zo wordt er veel gebruik gemaakt van het doen van een parallel promotietraject. Het secretariaat kent ook interne controlemechanismes die zorgen dat alle medewerkers voldoende inhoudelijke kennis hebben om goed te kunnen functioneren. Het personeel is zeer gemotiveerd.</w:t>
      </w:r>
    </w:p>
    <w:p w14:paraId="4E04C2C1" w14:textId="77777777" w:rsidR="00150BEE" w:rsidRPr="002D5EFE" w:rsidRDefault="00150BE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150BEE" w:rsidRPr="002D5EFE" w14:paraId="5B4FC617" w14:textId="77777777" w:rsidTr="00B06CE6">
        <w:tc>
          <w:tcPr>
            <w:tcW w:w="6912" w:type="dxa"/>
            <w:tcBorders>
              <w:top w:val="single" w:sz="12" w:space="0" w:color="auto"/>
              <w:left w:val="single" w:sz="12" w:space="0" w:color="auto"/>
              <w:bottom w:val="single" w:sz="12" w:space="0" w:color="auto"/>
            </w:tcBorders>
            <w:shd w:val="clear" w:color="auto" w:fill="D0CECE"/>
          </w:tcPr>
          <w:p w14:paraId="4FCB4AF9" w14:textId="77777777" w:rsidR="00150BEE" w:rsidRPr="002D5EFE" w:rsidRDefault="00150BEE" w:rsidP="00382AE3">
            <w:pPr>
              <w:rPr>
                <w:b/>
              </w:rPr>
            </w:pPr>
            <w:r w:rsidRPr="002D5EFE">
              <w:rPr>
                <w:b/>
              </w:rPr>
              <w:t>Onderdeel</w:t>
            </w:r>
          </w:p>
        </w:tc>
        <w:tc>
          <w:tcPr>
            <w:tcW w:w="955" w:type="dxa"/>
            <w:tcBorders>
              <w:top w:val="single" w:sz="12" w:space="0" w:color="auto"/>
              <w:bottom w:val="single" w:sz="12" w:space="0" w:color="auto"/>
              <w:right w:val="single" w:sz="12" w:space="0" w:color="auto"/>
            </w:tcBorders>
            <w:shd w:val="clear" w:color="auto" w:fill="D0CECE"/>
          </w:tcPr>
          <w:p w14:paraId="2CF8984B" w14:textId="77777777" w:rsidR="00150BEE" w:rsidRPr="002D5EFE" w:rsidRDefault="00150BEE" w:rsidP="00382AE3">
            <w:pPr>
              <w:rPr>
                <w:b/>
              </w:rPr>
            </w:pPr>
            <w:r w:rsidRPr="002D5EFE">
              <w:rPr>
                <w:b/>
              </w:rPr>
              <w:t>Score</w:t>
            </w:r>
          </w:p>
        </w:tc>
      </w:tr>
      <w:tr w:rsidR="00150BEE" w:rsidRPr="002D5EFE" w14:paraId="66B84B61" w14:textId="77777777" w:rsidTr="00382AE3">
        <w:tc>
          <w:tcPr>
            <w:tcW w:w="6912" w:type="dxa"/>
            <w:tcBorders>
              <w:top w:val="single" w:sz="12" w:space="0" w:color="auto"/>
              <w:left w:val="single" w:sz="12" w:space="0" w:color="auto"/>
            </w:tcBorders>
            <w:shd w:val="clear" w:color="auto" w:fill="auto"/>
          </w:tcPr>
          <w:p w14:paraId="6FEEC30A" w14:textId="77777777" w:rsidR="00150BEE" w:rsidRPr="002D5EFE" w:rsidRDefault="00150BEE" w:rsidP="00382AE3">
            <w:r w:rsidRPr="002D5EFE">
              <w:t>Delegatie van bevoegdheden</w:t>
            </w:r>
          </w:p>
        </w:tc>
        <w:tc>
          <w:tcPr>
            <w:tcW w:w="955" w:type="dxa"/>
            <w:tcBorders>
              <w:top w:val="single" w:sz="12" w:space="0" w:color="auto"/>
              <w:right w:val="single" w:sz="12" w:space="0" w:color="auto"/>
            </w:tcBorders>
            <w:shd w:val="clear" w:color="auto" w:fill="auto"/>
          </w:tcPr>
          <w:p w14:paraId="0C140F73" w14:textId="4EA03C7D" w:rsidR="00150BEE" w:rsidRPr="002D5EFE" w:rsidRDefault="00150BEE" w:rsidP="00382AE3">
            <w:r>
              <w:t>n.v.t.</w:t>
            </w:r>
          </w:p>
        </w:tc>
      </w:tr>
      <w:tr w:rsidR="00150BEE" w:rsidRPr="002D5EFE" w14:paraId="65DCD74E" w14:textId="77777777" w:rsidTr="00382AE3">
        <w:tc>
          <w:tcPr>
            <w:tcW w:w="6912" w:type="dxa"/>
            <w:tcBorders>
              <w:left w:val="single" w:sz="12" w:space="0" w:color="auto"/>
            </w:tcBorders>
            <w:shd w:val="clear" w:color="auto" w:fill="auto"/>
          </w:tcPr>
          <w:p w14:paraId="4542E3F4" w14:textId="77777777" w:rsidR="00150BEE" w:rsidRPr="002D5EFE" w:rsidRDefault="00150BEE" w:rsidP="00382AE3">
            <w:r w:rsidRPr="002D5EFE">
              <w:t>Projectbeheer en financieel beheer</w:t>
            </w:r>
          </w:p>
        </w:tc>
        <w:tc>
          <w:tcPr>
            <w:tcW w:w="955" w:type="dxa"/>
            <w:tcBorders>
              <w:right w:val="single" w:sz="12" w:space="0" w:color="auto"/>
            </w:tcBorders>
            <w:shd w:val="clear" w:color="auto" w:fill="auto"/>
          </w:tcPr>
          <w:p w14:paraId="315CDD8D" w14:textId="77777777" w:rsidR="00150BEE" w:rsidRPr="002D5EFE" w:rsidRDefault="00150BEE" w:rsidP="00382AE3">
            <w:r w:rsidRPr="002D5EFE">
              <w:t>3</w:t>
            </w:r>
          </w:p>
        </w:tc>
      </w:tr>
      <w:tr w:rsidR="00150BEE" w:rsidRPr="002D5EFE" w14:paraId="510F1CB3" w14:textId="77777777" w:rsidTr="00382AE3">
        <w:tc>
          <w:tcPr>
            <w:tcW w:w="6912" w:type="dxa"/>
            <w:tcBorders>
              <w:left w:val="single" w:sz="12" w:space="0" w:color="auto"/>
            </w:tcBorders>
            <w:shd w:val="clear" w:color="auto" w:fill="auto"/>
          </w:tcPr>
          <w:p w14:paraId="3B135ECB" w14:textId="77777777" w:rsidR="00150BEE" w:rsidRPr="002D5EFE" w:rsidRDefault="00150BEE" w:rsidP="00382AE3">
            <w:r w:rsidRPr="002D5EFE">
              <w:t>Verantwoordelijkheden en bevoegdheden decentrale kantoren</w:t>
            </w:r>
          </w:p>
        </w:tc>
        <w:tc>
          <w:tcPr>
            <w:tcW w:w="955" w:type="dxa"/>
            <w:tcBorders>
              <w:right w:val="single" w:sz="12" w:space="0" w:color="auto"/>
            </w:tcBorders>
            <w:shd w:val="clear" w:color="auto" w:fill="auto"/>
          </w:tcPr>
          <w:p w14:paraId="281D121F" w14:textId="77777777" w:rsidR="00150BEE" w:rsidRPr="002D5EFE" w:rsidRDefault="00150BEE" w:rsidP="00382AE3">
            <w:r w:rsidRPr="002D5EFE">
              <w:t>n.v.t.</w:t>
            </w:r>
          </w:p>
        </w:tc>
      </w:tr>
      <w:tr w:rsidR="00150BEE" w:rsidRPr="002D5EFE" w14:paraId="1E7A24FC" w14:textId="77777777" w:rsidTr="00382AE3">
        <w:tc>
          <w:tcPr>
            <w:tcW w:w="6912" w:type="dxa"/>
            <w:tcBorders>
              <w:left w:val="single" w:sz="12" w:space="0" w:color="auto"/>
              <w:bottom w:val="single" w:sz="12" w:space="0" w:color="auto"/>
            </w:tcBorders>
            <w:shd w:val="clear" w:color="auto" w:fill="auto"/>
          </w:tcPr>
          <w:p w14:paraId="15EFE215" w14:textId="77777777" w:rsidR="00150BEE" w:rsidRPr="002D5EFE" w:rsidRDefault="00150BEE" w:rsidP="00382AE3">
            <w:r w:rsidRPr="002D5EFE">
              <w:t>Gebruik van lokale partners en systemen</w:t>
            </w:r>
          </w:p>
        </w:tc>
        <w:tc>
          <w:tcPr>
            <w:tcW w:w="955" w:type="dxa"/>
            <w:tcBorders>
              <w:bottom w:val="single" w:sz="12" w:space="0" w:color="auto"/>
              <w:right w:val="single" w:sz="12" w:space="0" w:color="auto"/>
            </w:tcBorders>
            <w:shd w:val="clear" w:color="auto" w:fill="auto"/>
          </w:tcPr>
          <w:p w14:paraId="4396D4B5" w14:textId="4FD4FD40" w:rsidR="00150BEE" w:rsidRPr="002D5EFE" w:rsidRDefault="00150BEE" w:rsidP="002D5EFE">
            <w:r>
              <w:t>n.v.t.</w:t>
            </w:r>
          </w:p>
        </w:tc>
      </w:tr>
      <w:tr w:rsidR="00150BEE" w:rsidRPr="002D5EFE" w14:paraId="1579DF60" w14:textId="77777777" w:rsidTr="00B06CE6">
        <w:tc>
          <w:tcPr>
            <w:tcW w:w="6912" w:type="dxa"/>
            <w:tcBorders>
              <w:top w:val="single" w:sz="12" w:space="0" w:color="auto"/>
              <w:left w:val="single" w:sz="12" w:space="0" w:color="auto"/>
              <w:bottom w:val="single" w:sz="12" w:space="0" w:color="auto"/>
            </w:tcBorders>
            <w:shd w:val="clear" w:color="auto" w:fill="D0CECE"/>
          </w:tcPr>
          <w:p w14:paraId="3BB621C1" w14:textId="77777777" w:rsidR="00150BEE" w:rsidRPr="002D5EFE" w:rsidRDefault="00150BEE" w:rsidP="00382AE3">
            <w:pPr>
              <w:rPr>
                <w:b/>
              </w:rPr>
            </w:pPr>
            <w:r w:rsidRPr="002D5EFE">
              <w:rPr>
                <w:b/>
              </w:rPr>
              <w:t>TOTAAL</w:t>
            </w:r>
          </w:p>
        </w:tc>
        <w:tc>
          <w:tcPr>
            <w:tcW w:w="955" w:type="dxa"/>
            <w:tcBorders>
              <w:top w:val="single" w:sz="12" w:space="0" w:color="auto"/>
              <w:bottom w:val="single" w:sz="12" w:space="0" w:color="auto"/>
              <w:right w:val="single" w:sz="12" w:space="0" w:color="auto"/>
            </w:tcBorders>
            <w:shd w:val="clear" w:color="auto" w:fill="D0CECE"/>
          </w:tcPr>
          <w:p w14:paraId="3907A803" w14:textId="77777777" w:rsidR="00150BEE" w:rsidRPr="002D5EFE" w:rsidRDefault="00150BEE" w:rsidP="00382AE3">
            <w:pPr>
              <w:rPr>
                <w:b/>
              </w:rPr>
            </w:pPr>
            <w:r w:rsidRPr="002D5EFE">
              <w:rPr>
                <w:b/>
              </w:rPr>
              <w:t>3</w:t>
            </w:r>
          </w:p>
        </w:tc>
      </w:tr>
    </w:tbl>
    <w:p w14:paraId="31046927" w14:textId="77777777" w:rsidR="003F6AD3" w:rsidRDefault="003F6AD3" w:rsidP="00D32F98"/>
    <w:p w14:paraId="65A3EA94" w14:textId="4BE19101" w:rsidR="00150BEE" w:rsidRDefault="00150BEE" w:rsidP="00687CFF">
      <w:pPr>
        <w:ind w:firstLine="227"/>
      </w:pPr>
      <w:r w:rsidRPr="00A118B5">
        <w:t>Vera</w:t>
      </w:r>
      <w:r>
        <w:t xml:space="preserve">ndering sinds 2015: </w:t>
      </w:r>
      <w:r w:rsidRPr="00A118B5">
        <w:t xml:space="preserve">neutraal = </w:t>
      </w:r>
      <w:r w:rsidRPr="00A118B5">
        <w:sym w:font="Wingdings" w:char="F0E8"/>
      </w:r>
    </w:p>
    <w:p w14:paraId="2784A81C" w14:textId="77777777" w:rsidR="00687CFF" w:rsidRPr="00687CFF" w:rsidRDefault="00687CFF" w:rsidP="00687CFF">
      <w:pPr>
        <w:ind w:firstLine="227"/>
        <w:rPr>
          <w:b/>
        </w:rPr>
      </w:pPr>
    </w:p>
    <w:p w14:paraId="16F1C379" w14:textId="351F059E" w:rsidR="00150BEE" w:rsidRPr="00A118B5" w:rsidRDefault="009A0711" w:rsidP="003A32D7">
      <w:pPr>
        <w:pStyle w:val="Heading2"/>
        <w:tabs>
          <w:tab w:val="left" w:pos="-1162"/>
          <w:tab w:val="left" w:pos="0"/>
          <w:tab w:val="num" w:pos="1160"/>
        </w:tabs>
        <w:spacing w:line="240" w:lineRule="auto"/>
        <w:ind w:hanging="1162"/>
        <w:rPr>
          <w:b w:val="0"/>
        </w:rPr>
      </w:pPr>
      <w:bookmarkStart w:id="35" w:name="_Toc491440356"/>
      <w:r>
        <w:t>4</w:t>
      </w:r>
      <w:r w:rsidR="00150BEE" w:rsidRPr="00A118B5">
        <w:t>.5</w:t>
      </w:r>
      <w:r w:rsidR="00150BEE" w:rsidRPr="00A118B5">
        <w:tab/>
        <w:t>Beleidsevaluatie</w:t>
      </w:r>
      <w:bookmarkEnd w:id="35"/>
    </w:p>
    <w:p w14:paraId="031881C3" w14:textId="3DDE5A91" w:rsidR="00150BEE" w:rsidRDefault="00150BEE" w:rsidP="00AF2C49">
      <w:r>
        <w:t xml:space="preserve">De WTO kent geen eigen evaluatiebeleid. Wel is de werking van de WTO doorlopend onderwerp van gesprek tijdens de tweejaarlijkse Ministeriële Conferenties, de vele conferenties en onafhankelijk georganiseerde seminars. Ook is het functioneren van de WTO regelmatig onderwerp van verschillende wetenschappelijke studies, alsmede studies uitgevoerd door bijvoorbeeld NGO’s. Het is niet waarschijnlijk dat er in de toekomst een apart evaluatiekader voor het functioneren van de WTO komt. </w:t>
      </w:r>
    </w:p>
    <w:p w14:paraId="0BF74817" w14:textId="77777777" w:rsidR="00150BEE" w:rsidRDefault="00150BEE" w:rsidP="00AF2C49">
      <w:pPr>
        <w:rPr>
          <w:u w:val="single"/>
        </w:rPr>
      </w:pPr>
    </w:p>
    <w:p w14:paraId="4BAC521A" w14:textId="2EA85CA7" w:rsidR="00150BEE" w:rsidRPr="00572048" w:rsidRDefault="00150BEE" w:rsidP="00AF2C49">
      <w:pPr>
        <w:rPr>
          <w:u w:val="single"/>
        </w:rPr>
      </w:pPr>
      <w:r w:rsidRPr="00572048">
        <w:rPr>
          <w:u w:val="single"/>
        </w:rPr>
        <w:t xml:space="preserve">Technische assistentie </w:t>
      </w:r>
    </w:p>
    <w:p w14:paraId="6320B027" w14:textId="4A8BD6F8" w:rsidR="00150BEE" w:rsidRPr="00B10878" w:rsidRDefault="00150BEE" w:rsidP="00AF2C49">
      <w:r>
        <w:t xml:space="preserve">De verschillende programma’s voor technische assistentie die onder de WTO vallen worden regelmatig extern geëvalueerd. Het evaluatiekader wordt door de WTO-leden vastgesteld in het </w:t>
      </w:r>
      <w:r w:rsidRPr="00572048">
        <w:rPr>
          <w:i/>
        </w:rPr>
        <w:t>Committee on Trade and Development</w:t>
      </w:r>
      <w:r>
        <w:t xml:space="preserve">. In datzelfde comité wordt ook de follow-up besproken. De manier waarop er follow-up wordt gegeven aan de aanbevelingen van de evaluatie is afhankelijk van de wens (consensus) van de WTO-leden en is daarom niet eenduidig. Het WTO-secretariaat is bereid om aan de aanbevelingen te werken, zoals bijvoorbeeld blijkt uit de meest recente managementrespons op de evaluatie.  </w:t>
      </w:r>
    </w:p>
    <w:p w14:paraId="4203C2A4" w14:textId="77777777" w:rsidR="00150BEE" w:rsidRPr="00B10878" w:rsidRDefault="00150BE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150BEE" w:rsidRPr="00B10878" w14:paraId="2EEEB3E7" w14:textId="77777777" w:rsidTr="00B06CE6">
        <w:tc>
          <w:tcPr>
            <w:tcW w:w="6912" w:type="dxa"/>
            <w:tcBorders>
              <w:top w:val="single" w:sz="12" w:space="0" w:color="auto"/>
              <w:left w:val="single" w:sz="12" w:space="0" w:color="auto"/>
              <w:bottom w:val="single" w:sz="12" w:space="0" w:color="auto"/>
            </w:tcBorders>
            <w:shd w:val="clear" w:color="auto" w:fill="D0CECE"/>
          </w:tcPr>
          <w:p w14:paraId="4303BC8B" w14:textId="77777777" w:rsidR="00150BEE" w:rsidRPr="00B10878" w:rsidRDefault="00150BEE" w:rsidP="00382AE3">
            <w:pPr>
              <w:rPr>
                <w:b/>
              </w:rPr>
            </w:pPr>
            <w:r w:rsidRPr="00B10878">
              <w:rPr>
                <w:b/>
              </w:rPr>
              <w:t>Onderdeel</w:t>
            </w:r>
          </w:p>
        </w:tc>
        <w:tc>
          <w:tcPr>
            <w:tcW w:w="955" w:type="dxa"/>
            <w:tcBorders>
              <w:top w:val="single" w:sz="12" w:space="0" w:color="auto"/>
              <w:bottom w:val="single" w:sz="12" w:space="0" w:color="auto"/>
              <w:right w:val="single" w:sz="12" w:space="0" w:color="auto"/>
            </w:tcBorders>
            <w:shd w:val="clear" w:color="auto" w:fill="D0CECE"/>
          </w:tcPr>
          <w:p w14:paraId="63A0F2A4" w14:textId="77777777" w:rsidR="00150BEE" w:rsidRPr="00B10878" w:rsidRDefault="00150BEE" w:rsidP="00382AE3">
            <w:pPr>
              <w:rPr>
                <w:b/>
              </w:rPr>
            </w:pPr>
            <w:r w:rsidRPr="00B10878">
              <w:rPr>
                <w:b/>
              </w:rPr>
              <w:t>Score</w:t>
            </w:r>
          </w:p>
        </w:tc>
      </w:tr>
      <w:tr w:rsidR="00150BEE" w:rsidRPr="00B10878" w14:paraId="37087708" w14:textId="77777777" w:rsidTr="00382AE3">
        <w:tc>
          <w:tcPr>
            <w:tcW w:w="6912" w:type="dxa"/>
            <w:tcBorders>
              <w:top w:val="single" w:sz="12" w:space="0" w:color="auto"/>
              <w:left w:val="single" w:sz="12" w:space="0" w:color="auto"/>
            </w:tcBorders>
            <w:shd w:val="clear" w:color="auto" w:fill="auto"/>
          </w:tcPr>
          <w:p w14:paraId="1FF64A1C" w14:textId="77777777" w:rsidR="00150BEE" w:rsidRPr="00B10878" w:rsidRDefault="00150BEE" w:rsidP="00382AE3">
            <w:r w:rsidRPr="00B10878">
              <w:t>Helder vastgelegd evaluatiebeleid</w:t>
            </w:r>
          </w:p>
        </w:tc>
        <w:tc>
          <w:tcPr>
            <w:tcW w:w="955" w:type="dxa"/>
            <w:tcBorders>
              <w:top w:val="single" w:sz="12" w:space="0" w:color="auto"/>
              <w:right w:val="single" w:sz="12" w:space="0" w:color="auto"/>
            </w:tcBorders>
            <w:shd w:val="clear" w:color="auto" w:fill="auto"/>
          </w:tcPr>
          <w:p w14:paraId="4314AA7E" w14:textId="77777777" w:rsidR="00150BEE" w:rsidRPr="00B10878" w:rsidRDefault="00150BEE" w:rsidP="00382AE3">
            <w:r>
              <w:t>3</w:t>
            </w:r>
          </w:p>
        </w:tc>
      </w:tr>
      <w:tr w:rsidR="00150BEE" w:rsidRPr="00B10878" w14:paraId="1C57F0E1" w14:textId="77777777" w:rsidTr="00382AE3">
        <w:tc>
          <w:tcPr>
            <w:tcW w:w="6912" w:type="dxa"/>
            <w:tcBorders>
              <w:left w:val="single" w:sz="12" w:space="0" w:color="auto"/>
            </w:tcBorders>
            <w:shd w:val="clear" w:color="auto" w:fill="auto"/>
          </w:tcPr>
          <w:p w14:paraId="0593C906" w14:textId="77777777" w:rsidR="00150BEE" w:rsidRPr="00B10878" w:rsidRDefault="00150BEE" w:rsidP="00382AE3">
            <w:r w:rsidRPr="00B10878">
              <w:t>Inrichting evaluatiefunctie</w:t>
            </w:r>
          </w:p>
        </w:tc>
        <w:tc>
          <w:tcPr>
            <w:tcW w:w="955" w:type="dxa"/>
            <w:tcBorders>
              <w:right w:val="single" w:sz="12" w:space="0" w:color="auto"/>
            </w:tcBorders>
            <w:shd w:val="clear" w:color="auto" w:fill="auto"/>
          </w:tcPr>
          <w:p w14:paraId="23E29F25" w14:textId="77777777" w:rsidR="00150BEE" w:rsidRPr="00B10878" w:rsidRDefault="00150BEE" w:rsidP="00382AE3">
            <w:r>
              <w:t>3</w:t>
            </w:r>
          </w:p>
        </w:tc>
      </w:tr>
      <w:tr w:rsidR="00150BEE" w:rsidRPr="00B10878" w14:paraId="7FA8C0BC" w14:textId="77777777" w:rsidTr="00382AE3">
        <w:tc>
          <w:tcPr>
            <w:tcW w:w="6912" w:type="dxa"/>
            <w:tcBorders>
              <w:left w:val="single" w:sz="12" w:space="0" w:color="auto"/>
            </w:tcBorders>
            <w:shd w:val="clear" w:color="auto" w:fill="auto"/>
          </w:tcPr>
          <w:p w14:paraId="500DA703" w14:textId="77777777" w:rsidR="00150BEE" w:rsidRPr="00B10878" w:rsidRDefault="00150BEE" w:rsidP="00382AE3">
            <w:r w:rsidRPr="00B10878">
              <w:t>Onafhankelijkheid evaluatie-eenheid</w:t>
            </w:r>
          </w:p>
        </w:tc>
        <w:tc>
          <w:tcPr>
            <w:tcW w:w="955" w:type="dxa"/>
            <w:tcBorders>
              <w:right w:val="single" w:sz="12" w:space="0" w:color="auto"/>
            </w:tcBorders>
            <w:shd w:val="clear" w:color="auto" w:fill="auto"/>
          </w:tcPr>
          <w:p w14:paraId="10233ADE" w14:textId="77777777" w:rsidR="00150BEE" w:rsidRPr="00B10878" w:rsidRDefault="00150BEE" w:rsidP="00382AE3">
            <w:r>
              <w:t>3</w:t>
            </w:r>
          </w:p>
        </w:tc>
      </w:tr>
      <w:tr w:rsidR="00150BEE" w:rsidRPr="00B10878" w14:paraId="0E49D517" w14:textId="77777777" w:rsidTr="00382AE3">
        <w:tc>
          <w:tcPr>
            <w:tcW w:w="6912" w:type="dxa"/>
            <w:tcBorders>
              <w:left w:val="single" w:sz="12" w:space="0" w:color="auto"/>
            </w:tcBorders>
            <w:shd w:val="clear" w:color="auto" w:fill="auto"/>
          </w:tcPr>
          <w:p w14:paraId="2A7E0D5C" w14:textId="77777777" w:rsidR="00150BEE" w:rsidRPr="00B10878" w:rsidRDefault="00150BEE" w:rsidP="00382AE3">
            <w:r w:rsidRPr="00B10878">
              <w:t>Reikwijdte en relevantie evaluaties</w:t>
            </w:r>
          </w:p>
        </w:tc>
        <w:tc>
          <w:tcPr>
            <w:tcW w:w="955" w:type="dxa"/>
            <w:tcBorders>
              <w:right w:val="single" w:sz="12" w:space="0" w:color="auto"/>
            </w:tcBorders>
            <w:shd w:val="clear" w:color="auto" w:fill="auto"/>
          </w:tcPr>
          <w:p w14:paraId="2621E090" w14:textId="77777777" w:rsidR="00150BEE" w:rsidRPr="00B10878" w:rsidRDefault="00150BEE" w:rsidP="00382AE3">
            <w:r w:rsidRPr="00B10878">
              <w:t>3</w:t>
            </w:r>
          </w:p>
        </w:tc>
      </w:tr>
      <w:tr w:rsidR="00150BEE" w:rsidRPr="00B10878" w14:paraId="5C000334" w14:textId="77777777" w:rsidTr="00382AE3">
        <w:tc>
          <w:tcPr>
            <w:tcW w:w="6912" w:type="dxa"/>
            <w:tcBorders>
              <w:left w:val="single" w:sz="12" w:space="0" w:color="auto"/>
              <w:bottom w:val="single" w:sz="12" w:space="0" w:color="auto"/>
            </w:tcBorders>
            <w:shd w:val="clear" w:color="auto" w:fill="auto"/>
          </w:tcPr>
          <w:p w14:paraId="67041E0E" w14:textId="77777777" w:rsidR="00150BEE" w:rsidRPr="00B10878" w:rsidRDefault="00150BEE" w:rsidP="00382AE3">
            <w:r w:rsidRPr="00B10878">
              <w:t>Follow up aanbevelingen evaluaties</w:t>
            </w:r>
          </w:p>
        </w:tc>
        <w:tc>
          <w:tcPr>
            <w:tcW w:w="955" w:type="dxa"/>
            <w:tcBorders>
              <w:bottom w:val="single" w:sz="12" w:space="0" w:color="auto"/>
              <w:right w:val="single" w:sz="12" w:space="0" w:color="auto"/>
            </w:tcBorders>
            <w:shd w:val="clear" w:color="auto" w:fill="auto"/>
          </w:tcPr>
          <w:p w14:paraId="5D5427E5" w14:textId="77777777" w:rsidR="00150BEE" w:rsidRPr="00B10878" w:rsidRDefault="00150BEE" w:rsidP="00382AE3">
            <w:r>
              <w:t>3</w:t>
            </w:r>
          </w:p>
        </w:tc>
      </w:tr>
      <w:tr w:rsidR="00150BEE" w:rsidRPr="00B10878" w14:paraId="58727B26" w14:textId="77777777" w:rsidTr="00B06CE6">
        <w:tc>
          <w:tcPr>
            <w:tcW w:w="6912" w:type="dxa"/>
            <w:tcBorders>
              <w:top w:val="single" w:sz="12" w:space="0" w:color="auto"/>
              <w:left w:val="single" w:sz="12" w:space="0" w:color="auto"/>
              <w:bottom w:val="single" w:sz="12" w:space="0" w:color="auto"/>
            </w:tcBorders>
            <w:shd w:val="clear" w:color="auto" w:fill="D0CECE"/>
          </w:tcPr>
          <w:p w14:paraId="6507D40E" w14:textId="77777777" w:rsidR="00150BEE" w:rsidRPr="00B10878" w:rsidRDefault="00150BEE" w:rsidP="00382AE3">
            <w:pPr>
              <w:rPr>
                <w:b/>
              </w:rPr>
            </w:pPr>
            <w:r w:rsidRPr="00B10878">
              <w:rPr>
                <w:b/>
              </w:rPr>
              <w:t>TOTAAL</w:t>
            </w:r>
          </w:p>
        </w:tc>
        <w:tc>
          <w:tcPr>
            <w:tcW w:w="955" w:type="dxa"/>
            <w:tcBorders>
              <w:top w:val="single" w:sz="12" w:space="0" w:color="auto"/>
              <w:bottom w:val="single" w:sz="12" w:space="0" w:color="auto"/>
              <w:right w:val="single" w:sz="12" w:space="0" w:color="auto"/>
            </w:tcBorders>
            <w:shd w:val="clear" w:color="auto" w:fill="D0CECE"/>
          </w:tcPr>
          <w:p w14:paraId="0320AD33" w14:textId="77777777" w:rsidR="00150BEE" w:rsidRPr="00B10878" w:rsidRDefault="00150BEE" w:rsidP="00382AE3">
            <w:pPr>
              <w:rPr>
                <w:b/>
              </w:rPr>
            </w:pPr>
            <w:r>
              <w:rPr>
                <w:b/>
              </w:rPr>
              <w:t>3</w:t>
            </w:r>
          </w:p>
        </w:tc>
      </w:tr>
    </w:tbl>
    <w:p w14:paraId="394DA632" w14:textId="77777777" w:rsidR="003F6AD3" w:rsidRDefault="003F6AD3" w:rsidP="00AC2B6D"/>
    <w:p w14:paraId="460309C4" w14:textId="15385434" w:rsidR="00150BEE" w:rsidRDefault="00150BEE" w:rsidP="003F6AD3">
      <w:pPr>
        <w:ind w:firstLine="227"/>
      </w:pPr>
      <w:r w:rsidRPr="00B10878">
        <w:t xml:space="preserve">Verandering sinds 2015: </w:t>
      </w:r>
      <w:r>
        <w:t>neutraal</w:t>
      </w:r>
      <w:r w:rsidRPr="00B10878">
        <w:t xml:space="preserve"> =  </w:t>
      </w:r>
      <w:bookmarkStart w:id="36" w:name="_Toc348364671"/>
      <w:r w:rsidRPr="00193994">
        <w:sym w:font="Wingdings" w:char="F0E8"/>
      </w:r>
    </w:p>
    <w:p w14:paraId="2D031D0B" w14:textId="77777777" w:rsidR="00DF7E74" w:rsidRDefault="00DF7E74" w:rsidP="003F6AD3">
      <w:pPr>
        <w:ind w:firstLine="227"/>
      </w:pPr>
    </w:p>
    <w:p w14:paraId="690EB4A6" w14:textId="7810CF06" w:rsidR="00150BEE" w:rsidRPr="00AC2B6D" w:rsidRDefault="009A0711" w:rsidP="009A0711">
      <w:pPr>
        <w:pStyle w:val="Heading2"/>
        <w:ind w:left="-1162" w:right="567"/>
      </w:pPr>
      <w:bookmarkStart w:id="37" w:name="_Toc491440357"/>
      <w:r>
        <w:t>4</w:t>
      </w:r>
      <w:r w:rsidR="00150BEE">
        <w:t xml:space="preserve">.6 </w:t>
      </w:r>
      <w:r>
        <w:t xml:space="preserve">             </w:t>
      </w:r>
      <w:r w:rsidR="00150BEE" w:rsidRPr="00B10878">
        <w:t>Human Resource Management</w:t>
      </w:r>
      <w:bookmarkEnd w:id="36"/>
      <w:bookmarkEnd w:id="37"/>
    </w:p>
    <w:p w14:paraId="445E029E" w14:textId="017A2B2D" w:rsidR="00150BEE" w:rsidRDefault="00150BEE" w:rsidP="00AF2C49">
      <w:pPr>
        <w:autoSpaceDE w:val="0"/>
        <w:autoSpaceDN w:val="0"/>
        <w:adjustRightInd w:val="0"/>
        <w:spacing w:line="240" w:lineRule="auto"/>
        <w:rPr>
          <w:rFonts w:cs="Verdana"/>
          <w:szCs w:val="18"/>
        </w:rPr>
      </w:pPr>
      <w:r w:rsidRPr="00882C71">
        <w:rPr>
          <w:rFonts w:cs="Verdana"/>
          <w:szCs w:val="18"/>
        </w:rPr>
        <w:t xml:space="preserve">Het secretariaat van de WTO </w:t>
      </w:r>
      <w:r>
        <w:rPr>
          <w:rFonts w:cs="Verdana"/>
          <w:szCs w:val="18"/>
        </w:rPr>
        <w:t>had</w:t>
      </w:r>
      <w:r w:rsidRPr="00882C71">
        <w:rPr>
          <w:rFonts w:cs="Verdana"/>
          <w:szCs w:val="18"/>
        </w:rPr>
        <w:t xml:space="preserve"> ultimo 2016 666 werknemers</w:t>
      </w:r>
      <w:r>
        <w:rPr>
          <w:rFonts w:cs="Verdana"/>
          <w:szCs w:val="18"/>
        </w:rPr>
        <w:t xml:space="preserve"> uit 82 verschillende landen. De personeelsdivisie ziet erop toe dat het personeelsbeleid voortdurend wordt aangepast aan de behoeften van het WTO-lidmaatschap. Als de onderhandelingen over een bepaald thema in een stroomversnelling komen, kan het secretariaat besluiten om capaciteit van een andere afdeling op dit thema in te zetten.</w:t>
      </w:r>
    </w:p>
    <w:p w14:paraId="1C287A3D" w14:textId="77777777" w:rsidR="00150BEE" w:rsidRDefault="00150BEE" w:rsidP="00AF2C49">
      <w:pPr>
        <w:autoSpaceDE w:val="0"/>
        <w:autoSpaceDN w:val="0"/>
        <w:adjustRightInd w:val="0"/>
        <w:spacing w:line="240" w:lineRule="auto"/>
        <w:rPr>
          <w:rFonts w:cs="Verdana"/>
          <w:szCs w:val="18"/>
        </w:rPr>
      </w:pPr>
    </w:p>
    <w:p w14:paraId="2CF63F6F" w14:textId="3FDC930C" w:rsidR="00150BEE" w:rsidRDefault="00150BEE" w:rsidP="00AF2C49">
      <w:pPr>
        <w:autoSpaceDE w:val="0"/>
        <w:autoSpaceDN w:val="0"/>
        <w:adjustRightInd w:val="0"/>
        <w:spacing w:line="240" w:lineRule="auto"/>
        <w:rPr>
          <w:rFonts w:cs="Verdana"/>
          <w:szCs w:val="18"/>
        </w:rPr>
      </w:pPr>
      <w:r>
        <w:rPr>
          <w:rFonts w:cs="Verdana"/>
          <w:szCs w:val="18"/>
        </w:rPr>
        <w:t xml:space="preserve">Van de </w:t>
      </w:r>
      <w:r w:rsidRPr="007C4402">
        <w:rPr>
          <w:rFonts w:cs="Verdana"/>
          <w:szCs w:val="18"/>
        </w:rPr>
        <w:t>666</w:t>
      </w:r>
      <w:r>
        <w:rPr>
          <w:rFonts w:cs="Verdana"/>
          <w:szCs w:val="18"/>
        </w:rPr>
        <w:t xml:space="preserve"> medewerkers werken er 28 als </w:t>
      </w:r>
      <w:r w:rsidR="00C63FED">
        <w:rPr>
          <w:rFonts w:cs="Verdana"/>
          <w:szCs w:val="18"/>
        </w:rPr>
        <w:t>senior-manager</w:t>
      </w:r>
      <w:r>
        <w:rPr>
          <w:rFonts w:cs="Verdana"/>
          <w:szCs w:val="18"/>
        </w:rPr>
        <w:t xml:space="preserve">. Opvallend is dat Europese landen een bijzonder groot aandeel leveren van de werknemers binnen de WTO. Frankrijk (170), het Verenigd Koninkrijk (54), Zwitserland (50) en Spanje (39). Dit kan deels worden verklaard door de ligging van Genève in de onmiddellijke nabijheid van Frankrijk. Nederland is met </w:t>
      </w:r>
      <w:r w:rsidR="00CE37B2">
        <w:rPr>
          <w:rFonts w:cs="Verdana"/>
          <w:szCs w:val="18"/>
        </w:rPr>
        <w:t>vijf</w:t>
      </w:r>
      <w:r>
        <w:rPr>
          <w:rFonts w:cs="Verdana"/>
          <w:szCs w:val="18"/>
        </w:rPr>
        <w:t xml:space="preserve"> stafleden als vooraanstaand handelsland relatief ondervertegenwoordigd. Het WTO-secretariaat is actief in het werven van personeel uit ontwikkelingslanden. Dit gebeurt onder andere door het </w:t>
      </w:r>
      <w:r>
        <w:rPr>
          <w:rFonts w:cs="Verdana"/>
          <w:szCs w:val="18"/>
        </w:rPr>
        <w:lastRenderedPageBreak/>
        <w:t xml:space="preserve">aanbieden van </w:t>
      </w:r>
      <w:r w:rsidRPr="00A118B5">
        <w:rPr>
          <w:rFonts w:cs="Verdana"/>
          <w:i/>
          <w:szCs w:val="18"/>
        </w:rPr>
        <w:t>traineeships</w:t>
      </w:r>
      <w:r>
        <w:rPr>
          <w:rFonts w:cs="Verdana"/>
          <w:szCs w:val="18"/>
        </w:rPr>
        <w:t xml:space="preserve"> en PhD-trajecten binnen de WTO aan kandidaten uit ontwikkelingslanden. </w:t>
      </w:r>
    </w:p>
    <w:p w14:paraId="639FC99E" w14:textId="77777777" w:rsidR="00150BEE" w:rsidRDefault="00150BEE" w:rsidP="00AF2C49">
      <w:pPr>
        <w:autoSpaceDE w:val="0"/>
        <w:autoSpaceDN w:val="0"/>
        <w:adjustRightInd w:val="0"/>
        <w:spacing w:line="240" w:lineRule="auto"/>
        <w:rPr>
          <w:rFonts w:cs="Verdana"/>
          <w:szCs w:val="18"/>
        </w:rPr>
      </w:pPr>
    </w:p>
    <w:p w14:paraId="28F35F4B" w14:textId="43BCA2BC" w:rsidR="00150BEE" w:rsidRDefault="00150BEE" w:rsidP="00AF2C49">
      <w:pPr>
        <w:autoSpaceDE w:val="0"/>
        <w:autoSpaceDN w:val="0"/>
        <w:adjustRightInd w:val="0"/>
        <w:spacing w:line="240" w:lineRule="auto"/>
        <w:rPr>
          <w:rFonts w:cs="Verdana"/>
          <w:szCs w:val="18"/>
        </w:rPr>
      </w:pPr>
      <w:r>
        <w:rPr>
          <w:rFonts w:cs="Verdana"/>
          <w:szCs w:val="18"/>
        </w:rPr>
        <w:t xml:space="preserve">Het WTO-Secretariaat bestaat uit </w:t>
      </w:r>
      <w:r w:rsidRPr="00F93A95">
        <w:rPr>
          <w:rFonts w:cs="Verdana"/>
          <w:szCs w:val="18"/>
        </w:rPr>
        <w:t>309</w:t>
      </w:r>
      <w:r w:rsidRPr="0074455F">
        <w:rPr>
          <w:rFonts w:cs="Verdana"/>
          <w:color w:val="C00000"/>
          <w:szCs w:val="18"/>
        </w:rPr>
        <w:t xml:space="preserve"> </w:t>
      </w:r>
      <w:r>
        <w:rPr>
          <w:rFonts w:cs="Verdana"/>
          <w:szCs w:val="18"/>
        </w:rPr>
        <w:t xml:space="preserve">mannen en </w:t>
      </w:r>
      <w:r w:rsidRPr="00F93A95">
        <w:rPr>
          <w:rFonts w:cs="Verdana"/>
          <w:szCs w:val="18"/>
        </w:rPr>
        <w:t>357 v</w:t>
      </w:r>
      <w:r>
        <w:rPr>
          <w:rFonts w:cs="Verdana"/>
          <w:szCs w:val="18"/>
        </w:rPr>
        <w:t>rouwen. Op de inhoudelijke functies is de verhouding 56 procent mannen en 44 procent vrouwen. Dit is een aanmerkelijke verbetering</w:t>
      </w:r>
      <w:r w:rsidR="00CB0EFF">
        <w:rPr>
          <w:rFonts w:cs="Verdana"/>
          <w:szCs w:val="18"/>
        </w:rPr>
        <w:t xml:space="preserve"> als gevolg van bewust beleid: I</w:t>
      </w:r>
      <w:r>
        <w:rPr>
          <w:rFonts w:cs="Verdana"/>
          <w:szCs w:val="18"/>
        </w:rPr>
        <w:t xml:space="preserve">n 1995 was dit 69 procent mannen en 31 procent vrouwen. Van de 28 managementfuncties zijn nu vijf vrouwen werkzaam, ten opzichte van nul in 1995. Dit blijft een punt van aandacht.  </w:t>
      </w:r>
    </w:p>
    <w:p w14:paraId="306496E8" w14:textId="77777777" w:rsidR="00150BEE" w:rsidRDefault="00150BEE" w:rsidP="0074455F">
      <w:pPr>
        <w:autoSpaceDE w:val="0"/>
        <w:autoSpaceDN w:val="0"/>
        <w:adjustRightInd w:val="0"/>
        <w:spacing w:line="240" w:lineRule="auto"/>
        <w:rPr>
          <w:rFonts w:cs="Verdana"/>
          <w:szCs w:val="18"/>
        </w:rPr>
      </w:pPr>
    </w:p>
    <w:p w14:paraId="6E592101" w14:textId="0F99E869" w:rsidR="00150BEE" w:rsidRPr="00197C6B" w:rsidRDefault="00150BEE" w:rsidP="0074455F">
      <w:pPr>
        <w:autoSpaceDE w:val="0"/>
        <w:autoSpaceDN w:val="0"/>
        <w:adjustRightInd w:val="0"/>
        <w:spacing w:line="240" w:lineRule="auto"/>
        <w:rPr>
          <w:rFonts w:cs="Verdana"/>
          <w:szCs w:val="18"/>
        </w:rPr>
      </w:pPr>
      <w:r w:rsidRPr="00197C6B">
        <w:rPr>
          <w:rFonts w:cs="Verdana"/>
          <w:szCs w:val="18"/>
        </w:rPr>
        <w:t>De vrijwillige uitstroom van WTO-personeel naar andere</w:t>
      </w:r>
      <w:r>
        <w:rPr>
          <w:rFonts w:cs="Verdana"/>
          <w:szCs w:val="18"/>
        </w:rPr>
        <w:t xml:space="preserve"> </w:t>
      </w:r>
      <w:r w:rsidRPr="00197C6B">
        <w:rPr>
          <w:rFonts w:cs="Verdana"/>
          <w:szCs w:val="18"/>
        </w:rPr>
        <w:t>werkgevers is laag</w:t>
      </w:r>
      <w:r>
        <w:rPr>
          <w:rFonts w:cs="Verdana"/>
          <w:szCs w:val="18"/>
        </w:rPr>
        <w:t xml:space="preserve">. Mede </w:t>
      </w:r>
      <w:r w:rsidRPr="00197C6B">
        <w:rPr>
          <w:rFonts w:cs="Verdana"/>
          <w:szCs w:val="18"/>
        </w:rPr>
        <w:t>daarom probeert de personee</w:t>
      </w:r>
      <w:r>
        <w:rPr>
          <w:rFonts w:cs="Verdana"/>
          <w:szCs w:val="18"/>
        </w:rPr>
        <w:t xml:space="preserve">lsdivisie de mobiliteit van het </w:t>
      </w:r>
      <w:r w:rsidRPr="00197C6B">
        <w:rPr>
          <w:rFonts w:cs="Verdana"/>
          <w:szCs w:val="18"/>
        </w:rPr>
        <w:t xml:space="preserve">personeel te bevorderen door </w:t>
      </w:r>
      <w:r>
        <w:rPr>
          <w:rFonts w:cs="Verdana"/>
          <w:szCs w:val="18"/>
        </w:rPr>
        <w:t xml:space="preserve">bijvoorbeeld </w:t>
      </w:r>
      <w:r w:rsidRPr="00197C6B">
        <w:rPr>
          <w:rFonts w:cs="Verdana"/>
          <w:szCs w:val="18"/>
        </w:rPr>
        <w:t xml:space="preserve">uitwisselingsprogramma’s met </w:t>
      </w:r>
      <w:r>
        <w:rPr>
          <w:rFonts w:cs="Verdana"/>
          <w:szCs w:val="18"/>
        </w:rPr>
        <w:t>onder meer</w:t>
      </w:r>
      <w:r w:rsidRPr="00197C6B">
        <w:rPr>
          <w:rFonts w:cs="Verdana"/>
          <w:szCs w:val="18"/>
        </w:rPr>
        <w:t xml:space="preserve"> het IMF op te</w:t>
      </w:r>
      <w:r>
        <w:rPr>
          <w:rFonts w:cs="Verdana"/>
          <w:szCs w:val="18"/>
        </w:rPr>
        <w:t xml:space="preserve"> </w:t>
      </w:r>
      <w:r w:rsidRPr="00197C6B">
        <w:rPr>
          <w:rFonts w:cs="Verdana"/>
          <w:szCs w:val="18"/>
        </w:rPr>
        <w:t>zetten. Bij de modernisering van de functieomschrijvingen en de promotieregeling</w:t>
      </w:r>
      <w:r>
        <w:rPr>
          <w:rFonts w:cs="Verdana"/>
          <w:szCs w:val="18"/>
        </w:rPr>
        <w:t xml:space="preserve"> </w:t>
      </w:r>
      <w:r w:rsidRPr="00197C6B">
        <w:rPr>
          <w:rFonts w:cs="Verdana"/>
          <w:szCs w:val="18"/>
        </w:rPr>
        <w:t xml:space="preserve">ondervindt het beleid weerstand van de </w:t>
      </w:r>
      <w:r>
        <w:rPr>
          <w:rFonts w:cs="Verdana"/>
          <w:i/>
          <w:iCs/>
          <w:szCs w:val="18"/>
        </w:rPr>
        <w:t>S</w:t>
      </w:r>
      <w:r w:rsidRPr="00197C6B">
        <w:rPr>
          <w:rFonts w:cs="Verdana"/>
          <w:i/>
          <w:iCs/>
          <w:szCs w:val="18"/>
        </w:rPr>
        <w:t>taff council</w:t>
      </w:r>
      <w:r>
        <w:rPr>
          <w:rFonts w:cs="Verdana"/>
          <w:szCs w:val="18"/>
        </w:rPr>
        <w:t>.</w:t>
      </w:r>
    </w:p>
    <w:p w14:paraId="6D6E2A0E" w14:textId="77777777" w:rsidR="00150BEE" w:rsidRPr="00C95F60" w:rsidRDefault="00150BEE" w:rsidP="003266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150BEE" w:rsidRPr="00C95F60" w14:paraId="040AE7C3" w14:textId="77777777" w:rsidTr="00B06CE6">
        <w:tc>
          <w:tcPr>
            <w:tcW w:w="6912" w:type="dxa"/>
            <w:tcBorders>
              <w:top w:val="single" w:sz="12" w:space="0" w:color="auto"/>
              <w:left w:val="single" w:sz="12" w:space="0" w:color="auto"/>
              <w:bottom w:val="single" w:sz="12" w:space="0" w:color="auto"/>
            </w:tcBorders>
            <w:shd w:val="clear" w:color="auto" w:fill="D0CECE"/>
          </w:tcPr>
          <w:p w14:paraId="0826C803" w14:textId="77777777" w:rsidR="00150BEE" w:rsidRPr="00C95F60" w:rsidRDefault="00150BEE" w:rsidP="00382AE3">
            <w:pPr>
              <w:rPr>
                <w:b/>
              </w:rPr>
            </w:pPr>
            <w:r w:rsidRPr="00C95F60">
              <w:rPr>
                <w:b/>
              </w:rPr>
              <w:t>Onderdeel</w:t>
            </w:r>
          </w:p>
        </w:tc>
        <w:tc>
          <w:tcPr>
            <w:tcW w:w="955" w:type="dxa"/>
            <w:tcBorders>
              <w:top w:val="single" w:sz="12" w:space="0" w:color="auto"/>
              <w:bottom w:val="single" w:sz="12" w:space="0" w:color="auto"/>
              <w:right w:val="single" w:sz="12" w:space="0" w:color="auto"/>
            </w:tcBorders>
            <w:shd w:val="clear" w:color="auto" w:fill="D0CECE"/>
          </w:tcPr>
          <w:p w14:paraId="5B657A7D" w14:textId="77777777" w:rsidR="00150BEE" w:rsidRPr="00C95F60" w:rsidRDefault="00150BEE" w:rsidP="00382AE3">
            <w:pPr>
              <w:rPr>
                <w:b/>
              </w:rPr>
            </w:pPr>
            <w:r w:rsidRPr="00C95F60">
              <w:rPr>
                <w:b/>
              </w:rPr>
              <w:t>Score</w:t>
            </w:r>
          </w:p>
        </w:tc>
      </w:tr>
      <w:tr w:rsidR="00150BEE" w:rsidRPr="00C95F60" w14:paraId="7997F133" w14:textId="77777777" w:rsidTr="00382AE3">
        <w:tc>
          <w:tcPr>
            <w:tcW w:w="6912" w:type="dxa"/>
            <w:tcBorders>
              <w:top w:val="single" w:sz="12" w:space="0" w:color="auto"/>
              <w:left w:val="single" w:sz="12" w:space="0" w:color="auto"/>
            </w:tcBorders>
            <w:shd w:val="clear" w:color="auto" w:fill="auto"/>
          </w:tcPr>
          <w:p w14:paraId="3E030BAF" w14:textId="77777777" w:rsidR="00150BEE" w:rsidRPr="00C95F60" w:rsidRDefault="00150BEE" w:rsidP="00382AE3">
            <w:r w:rsidRPr="00C95F60">
              <w:t xml:space="preserve">Mobiliteit </w:t>
            </w:r>
          </w:p>
        </w:tc>
        <w:tc>
          <w:tcPr>
            <w:tcW w:w="955" w:type="dxa"/>
            <w:tcBorders>
              <w:top w:val="single" w:sz="12" w:space="0" w:color="auto"/>
              <w:right w:val="single" w:sz="12" w:space="0" w:color="auto"/>
            </w:tcBorders>
            <w:shd w:val="clear" w:color="auto" w:fill="auto"/>
          </w:tcPr>
          <w:p w14:paraId="7197403A" w14:textId="5F1A0814" w:rsidR="00150BEE" w:rsidRPr="00C95F60" w:rsidRDefault="00150BEE" w:rsidP="00382AE3">
            <w:r>
              <w:t>2</w:t>
            </w:r>
          </w:p>
        </w:tc>
      </w:tr>
      <w:tr w:rsidR="00150BEE" w:rsidRPr="00C95F60" w14:paraId="3C0D6104" w14:textId="77777777" w:rsidTr="00382AE3">
        <w:tc>
          <w:tcPr>
            <w:tcW w:w="6912" w:type="dxa"/>
            <w:tcBorders>
              <w:left w:val="single" w:sz="12" w:space="0" w:color="auto"/>
            </w:tcBorders>
            <w:shd w:val="clear" w:color="auto" w:fill="auto"/>
          </w:tcPr>
          <w:p w14:paraId="68FA00FF" w14:textId="77777777" w:rsidR="00150BEE" w:rsidRPr="00C95F60" w:rsidRDefault="00150BEE" w:rsidP="00B52E2F">
            <w:r w:rsidRPr="00C95F60">
              <w:t xml:space="preserve">Kwaliteit </w:t>
            </w:r>
          </w:p>
        </w:tc>
        <w:tc>
          <w:tcPr>
            <w:tcW w:w="955" w:type="dxa"/>
            <w:tcBorders>
              <w:right w:val="single" w:sz="12" w:space="0" w:color="auto"/>
            </w:tcBorders>
            <w:shd w:val="clear" w:color="auto" w:fill="auto"/>
          </w:tcPr>
          <w:p w14:paraId="29DDA288" w14:textId="77777777" w:rsidR="00150BEE" w:rsidRPr="00C95F60" w:rsidRDefault="00150BEE" w:rsidP="00382AE3">
            <w:r w:rsidRPr="00C95F60">
              <w:t>4</w:t>
            </w:r>
          </w:p>
        </w:tc>
      </w:tr>
      <w:tr w:rsidR="00150BEE" w:rsidRPr="00C95F60" w14:paraId="288043D5" w14:textId="77777777" w:rsidTr="00382AE3">
        <w:tc>
          <w:tcPr>
            <w:tcW w:w="6912" w:type="dxa"/>
            <w:tcBorders>
              <w:left w:val="single" w:sz="12" w:space="0" w:color="auto"/>
            </w:tcBorders>
            <w:shd w:val="clear" w:color="auto" w:fill="auto"/>
          </w:tcPr>
          <w:p w14:paraId="3B25DD38" w14:textId="77777777" w:rsidR="00150BEE" w:rsidRPr="00C95F60" w:rsidRDefault="00150BEE" w:rsidP="00382AE3">
            <w:r w:rsidRPr="00C95F60">
              <w:t>Diversiteit</w:t>
            </w:r>
          </w:p>
        </w:tc>
        <w:tc>
          <w:tcPr>
            <w:tcW w:w="955" w:type="dxa"/>
            <w:tcBorders>
              <w:right w:val="single" w:sz="12" w:space="0" w:color="auto"/>
            </w:tcBorders>
            <w:shd w:val="clear" w:color="auto" w:fill="auto"/>
          </w:tcPr>
          <w:p w14:paraId="70CFE2E8" w14:textId="77777777" w:rsidR="00150BEE" w:rsidRPr="00C95F60" w:rsidRDefault="00150BEE" w:rsidP="00382AE3">
            <w:r w:rsidRPr="00C95F60">
              <w:t>4</w:t>
            </w:r>
          </w:p>
        </w:tc>
      </w:tr>
      <w:tr w:rsidR="00150BEE" w:rsidRPr="00C95F60" w14:paraId="57A2CD87" w14:textId="77777777" w:rsidTr="00382AE3">
        <w:tc>
          <w:tcPr>
            <w:tcW w:w="6912" w:type="dxa"/>
            <w:tcBorders>
              <w:left w:val="single" w:sz="12" w:space="0" w:color="auto"/>
              <w:bottom w:val="single" w:sz="12" w:space="0" w:color="auto"/>
            </w:tcBorders>
            <w:shd w:val="clear" w:color="auto" w:fill="auto"/>
          </w:tcPr>
          <w:p w14:paraId="18FE3ACD" w14:textId="77777777" w:rsidR="00150BEE" w:rsidRPr="00C95F60" w:rsidRDefault="00150BEE" w:rsidP="00382AE3">
            <w:r w:rsidRPr="00C95F60">
              <w:t>Genderbalans</w:t>
            </w:r>
          </w:p>
        </w:tc>
        <w:tc>
          <w:tcPr>
            <w:tcW w:w="955" w:type="dxa"/>
            <w:tcBorders>
              <w:bottom w:val="single" w:sz="12" w:space="0" w:color="auto"/>
              <w:right w:val="single" w:sz="12" w:space="0" w:color="auto"/>
            </w:tcBorders>
            <w:shd w:val="clear" w:color="auto" w:fill="auto"/>
          </w:tcPr>
          <w:p w14:paraId="25C459DD" w14:textId="35CA6C0C" w:rsidR="00150BEE" w:rsidRPr="00C95F60" w:rsidRDefault="00150BEE" w:rsidP="00382AE3">
            <w:r>
              <w:t>2</w:t>
            </w:r>
          </w:p>
        </w:tc>
      </w:tr>
      <w:tr w:rsidR="00150BEE" w:rsidRPr="00C95F60" w14:paraId="6E963984" w14:textId="77777777" w:rsidTr="00B06CE6">
        <w:tc>
          <w:tcPr>
            <w:tcW w:w="6912" w:type="dxa"/>
            <w:tcBorders>
              <w:top w:val="single" w:sz="12" w:space="0" w:color="auto"/>
              <w:left w:val="single" w:sz="12" w:space="0" w:color="auto"/>
              <w:bottom w:val="single" w:sz="12" w:space="0" w:color="auto"/>
            </w:tcBorders>
            <w:shd w:val="clear" w:color="auto" w:fill="D0CECE"/>
          </w:tcPr>
          <w:p w14:paraId="7E18DC18" w14:textId="77777777" w:rsidR="00150BEE" w:rsidRPr="00C95F60" w:rsidRDefault="00150BEE" w:rsidP="00382AE3">
            <w:pPr>
              <w:rPr>
                <w:b/>
              </w:rPr>
            </w:pPr>
            <w:r w:rsidRPr="00C95F60">
              <w:rPr>
                <w:b/>
              </w:rPr>
              <w:t>TOTAAL</w:t>
            </w:r>
          </w:p>
        </w:tc>
        <w:tc>
          <w:tcPr>
            <w:tcW w:w="955" w:type="dxa"/>
            <w:tcBorders>
              <w:top w:val="single" w:sz="12" w:space="0" w:color="auto"/>
              <w:bottom w:val="single" w:sz="12" w:space="0" w:color="auto"/>
              <w:right w:val="single" w:sz="12" w:space="0" w:color="auto"/>
            </w:tcBorders>
            <w:shd w:val="clear" w:color="auto" w:fill="D0CECE"/>
          </w:tcPr>
          <w:p w14:paraId="3EE31571" w14:textId="77777777" w:rsidR="00150BEE" w:rsidRPr="00C95F60" w:rsidRDefault="00150BEE" w:rsidP="00382AE3">
            <w:pPr>
              <w:rPr>
                <w:b/>
              </w:rPr>
            </w:pPr>
            <w:r w:rsidRPr="00C95F60">
              <w:rPr>
                <w:b/>
              </w:rPr>
              <w:t>3</w:t>
            </w:r>
          </w:p>
        </w:tc>
      </w:tr>
    </w:tbl>
    <w:p w14:paraId="1CF07619" w14:textId="77777777" w:rsidR="003F6AD3" w:rsidRDefault="003F6AD3" w:rsidP="00E20A86"/>
    <w:p w14:paraId="4DF9C261" w14:textId="7D5F1A3F" w:rsidR="00150BEE" w:rsidRDefault="00150BEE" w:rsidP="003F6AD3">
      <w:pPr>
        <w:ind w:firstLine="227"/>
      </w:pPr>
      <w:r w:rsidRPr="00C95F60">
        <w:t xml:space="preserve">Verandering sinds 2015: positief =  </w:t>
      </w:r>
      <w:r w:rsidRPr="00C95F60">
        <w:sym w:font="Wingdings" w:char="F0E9"/>
      </w:r>
    </w:p>
    <w:p w14:paraId="447ED11B" w14:textId="77777777" w:rsidR="00687CFF" w:rsidRPr="00150BEE" w:rsidRDefault="00687CFF" w:rsidP="003F6AD3">
      <w:pPr>
        <w:ind w:firstLine="227"/>
        <w:rPr>
          <w:b/>
        </w:rPr>
      </w:pPr>
    </w:p>
    <w:p w14:paraId="1372B313" w14:textId="5C136322" w:rsidR="00150BEE" w:rsidRPr="00A118B5" w:rsidRDefault="009A0711" w:rsidP="004D372F">
      <w:pPr>
        <w:pStyle w:val="Heading2"/>
        <w:tabs>
          <w:tab w:val="left" w:pos="-1162"/>
          <w:tab w:val="left" w:pos="0"/>
          <w:tab w:val="num" w:pos="1160"/>
        </w:tabs>
        <w:spacing w:line="240" w:lineRule="auto"/>
        <w:ind w:hanging="1162"/>
      </w:pPr>
      <w:bookmarkStart w:id="38" w:name="_Toc491440358"/>
      <w:r>
        <w:t>4</w:t>
      </w:r>
      <w:r w:rsidR="00150BEE" w:rsidRPr="00A118B5">
        <w:t xml:space="preserve">.7 </w:t>
      </w:r>
      <w:r w:rsidR="00150BEE" w:rsidRPr="00A118B5">
        <w:tab/>
        <w:t>Financiële stabiliteit</w:t>
      </w:r>
      <w:bookmarkEnd w:id="38"/>
    </w:p>
    <w:p w14:paraId="57F9EE42" w14:textId="7310A0C5" w:rsidR="00150BEE" w:rsidRDefault="00150BEE" w:rsidP="00AF2C49">
      <w:pPr>
        <w:autoSpaceDE w:val="0"/>
        <w:autoSpaceDN w:val="0"/>
        <w:adjustRightInd w:val="0"/>
        <w:spacing w:line="240" w:lineRule="auto"/>
        <w:rPr>
          <w:rFonts w:cs="Verdana"/>
          <w:szCs w:val="18"/>
        </w:rPr>
      </w:pPr>
      <w:r>
        <w:rPr>
          <w:rFonts w:cs="Verdana"/>
          <w:szCs w:val="18"/>
        </w:rPr>
        <w:t xml:space="preserve">De ontwerpbegroting wordt door de DG WTO voorgelegd aan het </w:t>
      </w:r>
      <w:r>
        <w:rPr>
          <w:rFonts w:cs="Verdana"/>
          <w:i/>
          <w:iCs/>
          <w:szCs w:val="18"/>
        </w:rPr>
        <w:t>Committee on Budget, Finance and Administration</w:t>
      </w:r>
      <w:r>
        <w:rPr>
          <w:rFonts w:cs="Verdana"/>
          <w:szCs w:val="18"/>
        </w:rPr>
        <w:t xml:space="preserve"> (CBFA), waarin alle lidstaten zijn vertegenwoordigd. Formele goedkeuring vindt jaarlijks plaats in de Algemene Raad. Het overgrote deel van het budget wordt besteed aan salarissen van medewerkers van het WTO-secretariaat. Daarnaast gaat een substantieel deel naar ondersteunende faciliteiten en capaciteitsopbouw. Zo’n 10 procent van het budget is bestemd voor het International Trade Centre.</w:t>
      </w:r>
    </w:p>
    <w:p w14:paraId="696B4EC8" w14:textId="77777777" w:rsidR="00150BEE" w:rsidRDefault="00150BEE" w:rsidP="00AF2C49">
      <w:pPr>
        <w:autoSpaceDE w:val="0"/>
        <w:autoSpaceDN w:val="0"/>
        <w:adjustRightInd w:val="0"/>
        <w:spacing w:line="240" w:lineRule="auto"/>
        <w:rPr>
          <w:rFonts w:cs="Verdana"/>
          <w:szCs w:val="18"/>
        </w:rPr>
      </w:pPr>
    </w:p>
    <w:p w14:paraId="76EC5FB5" w14:textId="77777777" w:rsidR="00150BEE" w:rsidRDefault="00150BEE" w:rsidP="00AF2C49">
      <w:pPr>
        <w:autoSpaceDE w:val="0"/>
        <w:autoSpaceDN w:val="0"/>
        <w:adjustRightInd w:val="0"/>
        <w:spacing w:line="240" w:lineRule="auto"/>
        <w:rPr>
          <w:rFonts w:cs="Verdana"/>
          <w:szCs w:val="18"/>
        </w:rPr>
      </w:pPr>
      <w:r>
        <w:rPr>
          <w:rFonts w:cs="Verdana"/>
          <w:szCs w:val="18"/>
        </w:rPr>
        <w:t>De begroting voor het biennium 2016-2017 is mede door de nominale nulgroei strak opgesteld en wordt strak gevolgd. De totale begroting bedraagt voor elk van beide jaren CHF 197.204.900, waarvan CHF 189.624.000 voor het WTO-secretariaat en CHF 7.579.900 voor het Secretariaat van het WTO Beroepsorgaan (</w:t>
      </w:r>
      <w:r w:rsidRPr="00130028">
        <w:rPr>
          <w:rFonts w:cs="Verdana"/>
          <w:i/>
          <w:szCs w:val="18"/>
        </w:rPr>
        <w:t>Appellate Body</w:t>
      </w:r>
      <w:r>
        <w:rPr>
          <w:rFonts w:cs="Verdana"/>
          <w:szCs w:val="18"/>
        </w:rPr>
        <w:t xml:space="preserve">). </w:t>
      </w:r>
    </w:p>
    <w:p w14:paraId="1C08F71E" w14:textId="77777777" w:rsidR="00150BEE" w:rsidRDefault="00150BEE" w:rsidP="00AF2C49">
      <w:pPr>
        <w:autoSpaceDE w:val="0"/>
        <w:autoSpaceDN w:val="0"/>
        <w:adjustRightInd w:val="0"/>
        <w:spacing w:line="240" w:lineRule="auto"/>
        <w:rPr>
          <w:rFonts w:cs="Verdana"/>
          <w:szCs w:val="18"/>
        </w:rPr>
      </w:pPr>
    </w:p>
    <w:p w14:paraId="272798A4" w14:textId="4A80CFC6" w:rsidR="00150BEE" w:rsidRDefault="00150BEE" w:rsidP="00AF2C49">
      <w:pPr>
        <w:autoSpaceDE w:val="0"/>
        <w:autoSpaceDN w:val="0"/>
        <w:adjustRightInd w:val="0"/>
        <w:spacing w:line="240" w:lineRule="auto"/>
        <w:rPr>
          <w:rFonts w:cs="Verdana"/>
          <w:szCs w:val="18"/>
        </w:rPr>
      </w:pPr>
      <w:r>
        <w:rPr>
          <w:rFonts w:cs="Verdana"/>
          <w:szCs w:val="18"/>
        </w:rPr>
        <w:t xml:space="preserve">Het </w:t>
      </w:r>
      <w:r>
        <w:rPr>
          <w:rFonts w:cs="Verdana"/>
          <w:i/>
          <w:iCs/>
          <w:szCs w:val="18"/>
        </w:rPr>
        <w:t xml:space="preserve">Office of Internal Audit </w:t>
      </w:r>
      <w:r w:rsidRPr="008D2ADF">
        <w:rPr>
          <w:rFonts w:cs="Verdana"/>
          <w:iCs/>
          <w:szCs w:val="18"/>
        </w:rPr>
        <w:t>(</w:t>
      </w:r>
      <w:r w:rsidRPr="00C30E66">
        <w:rPr>
          <w:rFonts w:cs="Verdana"/>
          <w:iCs/>
          <w:szCs w:val="18"/>
        </w:rPr>
        <w:t>OIA)</w:t>
      </w:r>
      <w:r>
        <w:rPr>
          <w:rFonts w:cs="Verdana"/>
          <w:i/>
          <w:iCs/>
          <w:szCs w:val="18"/>
        </w:rPr>
        <w:t xml:space="preserve"> </w:t>
      </w:r>
      <w:r>
        <w:rPr>
          <w:rFonts w:cs="Verdana"/>
          <w:szCs w:val="18"/>
        </w:rPr>
        <w:t xml:space="preserve">werd in maart 2008 opgericht en rapporteert sindsdien aan de </w:t>
      </w:r>
      <w:r w:rsidR="003F6AD3">
        <w:rPr>
          <w:rFonts w:cs="Verdana"/>
          <w:szCs w:val="18"/>
        </w:rPr>
        <w:t>DG</w:t>
      </w:r>
      <w:r>
        <w:rPr>
          <w:rFonts w:cs="Verdana"/>
          <w:szCs w:val="18"/>
        </w:rPr>
        <w:t xml:space="preserve">, die de rapporten deelt met het </w:t>
      </w:r>
      <w:r>
        <w:rPr>
          <w:rFonts w:cs="Verdana"/>
          <w:i/>
          <w:iCs/>
          <w:szCs w:val="18"/>
        </w:rPr>
        <w:t>Committee on Budget, Finance and Administration</w:t>
      </w:r>
      <w:r>
        <w:rPr>
          <w:rFonts w:cs="Verdana"/>
          <w:szCs w:val="18"/>
        </w:rPr>
        <w:t xml:space="preserve">. Deze dienst werkt aan de hand van een auditplan en voerde de afgelopen jaren naast reguliere financiële controle, specifieke onderzoeken uit naar onder andere aanbesteding, reiskosten, salarisbetaling en administratieve en logistieke ondersteuning. Naast de werkzaamheden van de interne auditdienst is er ook een jaarlijkse doorlichting door een externe auditor, thans het Duitse </w:t>
      </w:r>
      <w:r w:rsidRPr="00D91491">
        <w:rPr>
          <w:rFonts w:cs="Verdana"/>
          <w:i/>
          <w:szCs w:val="18"/>
        </w:rPr>
        <w:t>Bundesrechnungshof</w:t>
      </w:r>
      <w:r>
        <w:rPr>
          <w:rFonts w:cs="Verdana"/>
          <w:szCs w:val="18"/>
        </w:rPr>
        <w:t xml:space="preserve">. Belangrijke aanbevelingen van de externe auditor waren de omvorming van OIA in een </w:t>
      </w:r>
      <w:r w:rsidRPr="00130028">
        <w:rPr>
          <w:rFonts w:cs="Verdana"/>
          <w:i/>
          <w:szCs w:val="18"/>
        </w:rPr>
        <w:t>Office of Internal Oversight</w:t>
      </w:r>
      <w:r>
        <w:rPr>
          <w:rFonts w:cs="Verdana"/>
          <w:szCs w:val="18"/>
        </w:rPr>
        <w:t xml:space="preserve"> (OIO), hetgeen per 30 november 2015 heeft plaatsgevonden, en versterking van de procedures voor IT, waaraan het secretariaat thans werkt. Verder blijkt uit follow-up audits dat de meeste aanbevelingen adequaat worden opgevolgd.</w:t>
      </w:r>
    </w:p>
    <w:p w14:paraId="672FDB92" w14:textId="77777777" w:rsidR="00150BEE" w:rsidRDefault="00150BEE" w:rsidP="00AF2C49">
      <w:pPr>
        <w:autoSpaceDE w:val="0"/>
        <w:autoSpaceDN w:val="0"/>
        <w:adjustRightInd w:val="0"/>
        <w:spacing w:line="240" w:lineRule="auto"/>
        <w:rPr>
          <w:rFonts w:cs="Verdana"/>
          <w:szCs w:val="18"/>
        </w:rPr>
      </w:pPr>
    </w:p>
    <w:p w14:paraId="6A70C06C" w14:textId="7396B600" w:rsidR="00150BEE" w:rsidRDefault="00150BEE" w:rsidP="00AF2C49">
      <w:pPr>
        <w:autoSpaceDE w:val="0"/>
        <w:autoSpaceDN w:val="0"/>
        <w:adjustRightInd w:val="0"/>
        <w:spacing w:line="240" w:lineRule="auto"/>
        <w:rPr>
          <w:rFonts w:cs="Verdana"/>
          <w:szCs w:val="18"/>
        </w:rPr>
      </w:pPr>
      <w:r>
        <w:rPr>
          <w:rFonts w:cs="Verdana"/>
          <w:szCs w:val="18"/>
        </w:rPr>
        <w:t xml:space="preserve">De taak van het </w:t>
      </w:r>
      <w:r w:rsidRPr="00130028">
        <w:rPr>
          <w:rFonts w:cs="Verdana"/>
          <w:i/>
          <w:szCs w:val="18"/>
        </w:rPr>
        <w:t>Office of Internal Oversight</w:t>
      </w:r>
      <w:r>
        <w:rPr>
          <w:rFonts w:cs="Verdana"/>
          <w:szCs w:val="18"/>
        </w:rPr>
        <w:t xml:space="preserve"> is gedefinieerd als het bevorderen van financiële efficiëntie en transparantie, het identificeren van besparingen en terugvorderingen, het identificeren en tegengaan van fraude, inefficiënties, misbruik en misdragingen, het versterken van een cultuur van </w:t>
      </w:r>
      <w:r w:rsidRPr="00130028">
        <w:rPr>
          <w:rFonts w:cs="Verdana"/>
          <w:i/>
          <w:szCs w:val="18"/>
        </w:rPr>
        <w:t>accountability</w:t>
      </w:r>
      <w:r>
        <w:rPr>
          <w:rFonts w:cs="Verdana"/>
          <w:szCs w:val="18"/>
        </w:rPr>
        <w:t xml:space="preserve"> en integriteit binnen het WTO-secretariaat alsmede het verminderen van risico’s door systematische analyse van de voornaamste risico’s voor de organisatie. OIO kan </w:t>
      </w:r>
      <w:r>
        <w:rPr>
          <w:rFonts w:cs="Verdana"/>
          <w:szCs w:val="18"/>
        </w:rPr>
        <w:lastRenderedPageBreak/>
        <w:t xml:space="preserve">gevraagd of ongevraagd intern onderzoek, interne audits en andere evaluaties en inspecties verrichten. Het OIO en de externe auditor hebben jaarlijks overleg over hun </w:t>
      </w:r>
      <w:r w:rsidRPr="00CB0EFF">
        <w:rPr>
          <w:rFonts w:cs="Verdana"/>
          <w:i/>
          <w:szCs w:val="18"/>
        </w:rPr>
        <w:t>audit plans</w:t>
      </w:r>
      <w:r>
        <w:rPr>
          <w:rFonts w:cs="Verdana"/>
          <w:szCs w:val="18"/>
        </w:rPr>
        <w:t>.</w:t>
      </w:r>
    </w:p>
    <w:p w14:paraId="1429DD4F" w14:textId="77777777" w:rsidR="00150BEE" w:rsidRDefault="00150BEE" w:rsidP="00AF2C49">
      <w:pPr>
        <w:autoSpaceDE w:val="0"/>
        <w:autoSpaceDN w:val="0"/>
        <w:adjustRightInd w:val="0"/>
        <w:spacing w:line="240" w:lineRule="auto"/>
        <w:rPr>
          <w:rFonts w:cs="Verdana"/>
          <w:szCs w:val="18"/>
        </w:rPr>
      </w:pPr>
    </w:p>
    <w:p w14:paraId="62F9364B" w14:textId="5D94B738" w:rsidR="00150BEE" w:rsidRDefault="00150BEE" w:rsidP="00AF2C49">
      <w:pPr>
        <w:autoSpaceDE w:val="0"/>
        <w:autoSpaceDN w:val="0"/>
        <w:adjustRightInd w:val="0"/>
        <w:spacing w:line="240" w:lineRule="auto"/>
        <w:rPr>
          <w:rFonts w:cs="Verdana"/>
          <w:szCs w:val="18"/>
        </w:rPr>
      </w:pPr>
      <w:r>
        <w:rPr>
          <w:rFonts w:cs="Verdana"/>
          <w:szCs w:val="18"/>
        </w:rPr>
        <w:t>Ultimo 2016 was 96 procent van de verplichte contributie van 2016 ontvangen, een record tot op heden. 97 leden hadden geheel aan hun verplichtingen voldaan, terwijl 67 leden in gebreke waren. Aan dertien leden zijn administratieve maatregelen opgelegd. Er zijn per februari 2017 vijf ‘inactieve’ leden, die meer dan drie jaar in gebreke zijn gebleven en geen betalingsregeling hebben getroffen. Enkele jaren terug is binnen de WTO een actieve aanpak van wanbetalers opgezet, onder andere door ‘</w:t>
      </w:r>
      <w:r>
        <w:rPr>
          <w:rFonts w:cs="Verdana"/>
          <w:i/>
          <w:iCs/>
          <w:szCs w:val="18"/>
        </w:rPr>
        <w:t>naming and shaming</w:t>
      </w:r>
      <w:r>
        <w:rPr>
          <w:rFonts w:cs="Verdana"/>
          <w:szCs w:val="18"/>
        </w:rPr>
        <w:t>’ en actief aanschrijven door DGWTO. Deze aanpak lijkt zijn vruchten af te werpen.</w:t>
      </w:r>
    </w:p>
    <w:p w14:paraId="552D5FE2" w14:textId="77777777" w:rsidR="00150BEE" w:rsidRPr="00F878D3" w:rsidRDefault="00150BEE" w:rsidP="00DE343C">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150BEE" w:rsidRPr="0096432F" w14:paraId="7D0D00A8" w14:textId="77777777" w:rsidTr="00B06CE6">
        <w:tc>
          <w:tcPr>
            <w:tcW w:w="6912" w:type="dxa"/>
            <w:tcBorders>
              <w:top w:val="single" w:sz="12" w:space="0" w:color="auto"/>
              <w:left w:val="single" w:sz="12" w:space="0" w:color="auto"/>
              <w:bottom w:val="single" w:sz="12" w:space="0" w:color="auto"/>
            </w:tcBorders>
            <w:shd w:val="clear" w:color="auto" w:fill="D0CECE"/>
          </w:tcPr>
          <w:p w14:paraId="6B6FE2DA" w14:textId="77777777" w:rsidR="00150BEE" w:rsidRPr="0096432F" w:rsidRDefault="00150BEE" w:rsidP="00382AE3">
            <w:pPr>
              <w:rPr>
                <w:b/>
              </w:rPr>
            </w:pPr>
            <w:r w:rsidRPr="0096432F">
              <w:rPr>
                <w:b/>
              </w:rPr>
              <w:t>Onderdeel</w:t>
            </w:r>
          </w:p>
        </w:tc>
        <w:tc>
          <w:tcPr>
            <w:tcW w:w="955" w:type="dxa"/>
            <w:tcBorders>
              <w:top w:val="single" w:sz="12" w:space="0" w:color="auto"/>
              <w:bottom w:val="single" w:sz="12" w:space="0" w:color="auto"/>
              <w:right w:val="single" w:sz="12" w:space="0" w:color="auto"/>
            </w:tcBorders>
            <w:shd w:val="clear" w:color="auto" w:fill="D0CECE"/>
          </w:tcPr>
          <w:p w14:paraId="451DA183" w14:textId="77777777" w:rsidR="00150BEE" w:rsidRPr="0096432F" w:rsidRDefault="00150BEE" w:rsidP="00382AE3">
            <w:pPr>
              <w:rPr>
                <w:b/>
              </w:rPr>
            </w:pPr>
            <w:r w:rsidRPr="0096432F">
              <w:rPr>
                <w:b/>
              </w:rPr>
              <w:t>Score</w:t>
            </w:r>
          </w:p>
        </w:tc>
      </w:tr>
      <w:tr w:rsidR="00150BEE" w:rsidRPr="0096432F" w14:paraId="011CB9DC" w14:textId="77777777" w:rsidTr="00382AE3">
        <w:tc>
          <w:tcPr>
            <w:tcW w:w="6912" w:type="dxa"/>
            <w:tcBorders>
              <w:top w:val="single" w:sz="12" w:space="0" w:color="auto"/>
              <w:left w:val="single" w:sz="12" w:space="0" w:color="auto"/>
            </w:tcBorders>
            <w:shd w:val="clear" w:color="auto" w:fill="auto"/>
          </w:tcPr>
          <w:p w14:paraId="13504747" w14:textId="77777777" w:rsidR="00150BEE" w:rsidRPr="0096432F" w:rsidRDefault="00150BEE" w:rsidP="00927293">
            <w:r w:rsidRPr="0096432F">
              <w:t>Verhouding goedgekeurde begroting / ontvangen bijdragen</w:t>
            </w:r>
          </w:p>
        </w:tc>
        <w:tc>
          <w:tcPr>
            <w:tcW w:w="955" w:type="dxa"/>
            <w:tcBorders>
              <w:top w:val="single" w:sz="12" w:space="0" w:color="auto"/>
              <w:right w:val="single" w:sz="12" w:space="0" w:color="auto"/>
            </w:tcBorders>
            <w:shd w:val="clear" w:color="auto" w:fill="auto"/>
          </w:tcPr>
          <w:p w14:paraId="1D042443" w14:textId="77777777" w:rsidR="00150BEE" w:rsidRPr="0096432F" w:rsidRDefault="00150BEE" w:rsidP="00382AE3">
            <w:r>
              <w:t>4</w:t>
            </w:r>
          </w:p>
        </w:tc>
      </w:tr>
      <w:tr w:rsidR="00150BEE" w:rsidRPr="0096432F" w14:paraId="3F31121E" w14:textId="77777777" w:rsidTr="00382AE3">
        <w:tc>
          <w:tcPr>
            <w:tcW w:w="6912" w:type="dxa"/>
            <w:tcBorders>
              <w:left w:val="single" w:sz="12" w:space="0" w:color="auto"/>
            </w:tcBorders>
            <w:shd w:val="clear" w:color="auto" w:fill="auto"/>
          </w:tcPr>
          <w:p w14:paraId="64035333" w14:textId="77777777" w:rsidR="00150BEE" w:rsidRPr="0096432F" w:rsidRDefault="00150BEE" w:rsidP="00382AE3">
            <w:r w:rsidRPr="0096432F">
              <w:t>Liquiditeitspositie en/of solvabiliteitspositie</w:t>
            </w:r>
          </w:p>
        </w:tc>
        <w:tc>
          <w:tcPr>
            <w:tcW w:w="955" w:type="dxa"/>
            <w:tcBorders>
              <w:right w:val="single" w:sz="12" w:space="0" w:color="auto"/>
            </w:tcBorders>
            <w:shd w:val="clear" w:color="auto" w:fill="auto"/>
          </w:tcPr>
          <w:p w14:paraId="2D3AFAF4" w14:textId="77777777" w:rsidR="00150BEE" w:rsidRPr="0096432F" w:rsidRDefault="00150BEE" w:rsidP="00382AE3">
            <w:r>
              <w:t>4</w:t>
            </w:r>
          </w:p>
        </w:tc>
      </w:tr>
      <w:tr w:rsidR="00150BEE" w:rsidRPr="0096432F" w14:paraId="538E1FB5" w14:textId="77777777" w:rsidTr="00382AE3">
        <w:tc>
          <w:tcPr>
            <w:tcW w:w="6912" w:type="dxa"/>
            <w:tcBorders>
              <w:left w:val="single" w:sz="12" w:space="0" w:color="auto"/>
            </w:tcBorders>
            <w:shd w:val="clear" w:color="auto" w:fill="auto"/>
          </w:tcPr>
          <w:p w14:paraId="4485ACB5" w14:textId="77777777" w:rsidR="00150BEE" w:rsidRPr="0096432F" w:rsidRDefault="00150BEE" w:rsidP="00382AE3">
            <w:r w:rsidRPr="0096432F">
              <w:t>Interne auditfunctie</w:t>
            </w:r>
          </w:p>
        </w:tc>
        <w:tc>
          <w:tcPr>
            <w:tcW w:w="955" w:type="dxa"/>
            <w:tcBorders>
              <w:right w:val="single" w:sz="12" w:space="0" w:color="auto"/>
            </w:tcBorders>
            <w:shd w:val="clear" w:color="auto" w:fill="auto"/>
          </w:tcPr>
          <w:p w14:paraId="13F804A2" w14:textId="77777777" w:rsidR="00150BEE" w:rsidRPr="0096432F" w:rsidRDefault="00150BEE" w:rsidP="00382AE3">
            <w:r>
              <w:t>4</w:t>
            </w:r>
          </w:p>
        </w:tc>
      </w:tr>
      <w:tr w:rsidR="00150BEE" w:rsidRPr="0096432F" w14:paraId="3DDB6FC1" w14:textId="77777777" w:rsidTr="00382AE3">
        <w:tc>
          <w:tcPr>
            <w:tcW w:w="6912" w:type="dxa"/>
            <w:tcBorders>
              <w:left w:val="single" w:sz="12" w:space="0" w:color="auto"/>
            </w:tcBorders>
            <w:shd w:val="clear" w:color="auto" w:fill="auto"/>
          </w:tcPr>
          <w:p w14:paraId="3A4FD4DA" w14:textId="77777777" w:rsidR="00150BEE" w:rsidRPr="0096432F" w:rsidRDefault="00150BEE" w:rsidP="00382AE3">
            <w:r w:rsidRPr="0096432F">
              <w:t>Kwaliteit rapportages</w:t>
            </w:r>
          </w:p>
        </w:tc>
        <w:tc>
          <w:tcPr>
            <w:tcW w:w="955" w:type="dxa"/>
            <w:tcBorders>
              <w:right w:val="single" w:sz="12" w:space="0" w:color="auto"/>
            </w:tcBorders>
            <w:shd w:val="clear" w:color="auto" w:fill="auto"/>
          </w:tcPr>
          <w:p w14:paraId="2ADA8332" w14:textId="77777777" w:rsidR="00150BEE" w:rsidRPr="0096432F" w:rsidRDefault="00150BEE" w:rsidP="00382AE3">
            <w:r>
              <w:t>4</w:t>
            </w:r>
          </w:p>
        </w:tc>
      </w:tr>
      <w:tr w:rsidR="00150BEE" w:rsidRPr="0096432F" w14:paraId="64F5FF38" w14:textId="77777777" w:rsidTr="00382AE3">
        <w:tc>
          <w:tcPr>
            <w:tcW w:w="6912" w:type="dxa"/>
            <w:tcBorders>
              <w:left w:val="single" w:sz="12" w:space="0" w:color="auto"/>
            </w:tcBorders>
            <w:shd w:val="clear" w:color="auto" w:fill="auto"/>
          </w:tcPr>
          <w:p w14:paraId="5A19763C" w14:textId="77777777" w:rsidR="00150BEE" w:rsidRPr="0096432F" w:rsidRDefault="00150BEE" w:rsidP="00382AE3">
            <w:r w:rsidRPr="0096432F">
              <w:t>Samenhang tussen inhoudelijke en financiële rapportages</w:t>
            </w:r>
          </w:p>
        </w:tc>
        <w:tc>
          <w:tcPr>
            <w:tcW w:w="955" w:type="dxa"/>
            <w:tcBorders>
              <w:right w:val="single" w:sz="12" w:space="0" w:color="auto"/>
            </w:tcBorders>
            <w:shd w:val="clear" w:color="auto" w:fill="auto"/>
          </w:tcPr>
          <w:p w14:paraId="7AB30CC1" w14:textId="77777777" w:rsidR="00150BEE" w:rsidRPr="0096432F" w:rsidRDefault="00150BEE" w:rsidP="00382AE3">
            <w:r>
              <w:t>3</w:t>
            </w:r>
          </w:p>
        </w:tc>
      </w:tr>
      <w:tr w:rsidR="00150BEE" w:rsidRPr="0096432F" w14:paraId="0FCB5CAD" w14:textId="77777777" w:rsidTr="00B06CE6">
        <w:tc>
          <w:tcPr>
            <w:tcW w:w="6912" w:type="dxa"/>
            <w:tcBorders>
              <w:top w:val="single" w:sz="12" w:space="0" w:color="auto"/>
              <w:left w:val="single" w:sz="12" w:space="0" w:color="auto"/>
              <w:bottom w:val="single" w:sz="12" w:space="0" w:color="auto"/>
            </w:tcBorders>
            <w:shd w:val="clear" w:color="auto" w:fill="D0CECE"/>
          </w:tcPr>
          <w:p w14:paraId="36112561" w14:textId="77777777" w:rsidR="00150BEE" w:rsidRPr="0096432F" w:rsidRDefault="00150BEE" w:rsidP="00382AE3">
            <w:pPr>
              <w:rPr>
                <w:b/>
              </w:rPr>
            </w:pPr>
            <w:r w:rsidRPr="0096432F">
              <w:rPr>
                <w:b/>
              </w:rPr>
              <w:t>TOTAAL</w:t>
            </w:r>
          </w:p>
        </w:tc>
        <w:tc>
          <w:tcPr>
            <w:tcW w:w="955" w:type="dxa"/>
            <w:tcBorders>
              <w:top w:val="single" w:sz="12" w:space="0" w:color="auto"/>
              <w:bottom w:val="single" w:sz="12" w:space="0" w:color="auto"/>
              <w:right w:val="single" w:sz="12" w:space="0" w:color="auto"/>
            </w:tcBorders>
            <w:shd w:val="clear" w:color="auto" w:fill="D0CECE"/>
          </w:tcPr>
          <w:p w14:paraId="74B414EF" w14:textId="77777777" w:rsidR="00150BEE" w:rsidRPr="0096432F" w:rsidRDefault="00150BEE" w:rsidP="00382AE3">
            <w:pPr>
              <w:rPr>
                <w:b/>
              </w:rPr>
            </w:pPr>
            <w:r>
              <w:rPr>
                <w:b/>
              </w:rPr>
              <w:t>4</w:t>
            </w:r>
          </w:p>
        </w:tc>
      </w:tr>
    </w:tbl>
    <w:p w14:paraId="3138AA6C" w14:textId="77777777" w:rsidR="003F6AD3" w:rsidRDefault="003F6AD3" w:rsidP="00E20A86"/>
    <w:p w14:paraId="7AAAE084" w14:textId="220AA414" w:rsidR="00150BEE" w:rsidRDefault="00150BEE" w:rsidP="003F6AD3">
      <w:pPr>
        <w:ind w:firstLine="227"/>
      </w:pPr>
      <w:r w:rsidRPr="0096432F">
        <w:t xml:space="preserve">Verandering sinds 2015: positief =  </w:t>
      </w:r>
      <w:r w:rsidRPr="0096432F">
        <w:sym w:font="Wingdings" w:char="F0E9"/>
      </w:r>
    </w:p>
    <w:p w14:paraId="0D45556E" w14:textId="77777777" w:rsidR="00687CFF" w:rsidRPr="00150BEE" w:rsidRDefault="00687CFF" w:rsidP="003F6AD3">
      <w:pPr>
        <w:ind w:firstLine="227"/>
        <w:rPr>
          <w:b/>
        </w:rPr>
      </w:pPr>
    </w:p>
    <w:p w14:paraId="200469E6" w14:textId="7EEF0FCF" w:rsidR="00150BEE" w:rsidRPr="00A118B5" w:rsidRDefault="009A0711" w:rsidP="00382AE3">
      <w:pPr>
        <w:pStyle w:val="Heading2"/>
        <w:tabs>
          <w:tab w:val="left" w:pos="-1162"/>
          <w:tab w:val="left" w:pos="0"/>
          <w:tab w:val="num" w:pos="1160"/>
        </w:tabs>
        <w:spacing w:line="240" w:lineRule="auto"/>
        <w:ind w:hanging="1162"/>
      </w:pPr>
      <w:bookmarkStart w:id="39" w:name="_Toc491440359"/>
      <w:r>
        <w:t>4</w:t>
      </w:r>
      <w:r w:rsidR="00150BEE" w:rsidRPr="00A118B5">
        <w:t xml:space="preserve">.8 </w:t>
      </w:r>
      <w:r w:rsidR="00150BEE" w:rsidRPr="00A118B5">
        <w:tab/>
      </w:r>
      <w:r w:rsidR="00150BEE">
        <w:t>Kosten</w:t>
      </w:r>
      <w:r w:rsidR="006C5267">
        <w:t>reductie</w:t>
      </w:r>
      <w:bookmarkEnd w:id="39"/>
    </w:p>
    <w:p w14:paraId="42ADC6F5" w14:textId="717BA40D" w:rsidR="00150BEE" w:rsidRDefault="00150BEE" w:rsidP="00AF2C49">
      <w:pPr>
        <w:autoSpaceDE w:val="0"/>
        <w:autoSpaceDN w:val="0"/>
        <w:adjustRightInd w:val="0"/>
        <w:spacing w:line="240" w:lineRule="auto"/>
        <w:rPr>
          <w:rFonts w:cs="Verdana"/>
          <w:szCs w:val="18"/>
        </w:rPr>
      </w:pPr>
      <w:r>
        <w:rPr>
          <w:rFonts w:cs="Verdana"/>
          <w:szCs w:val="18"/>
        </w:rPr>
        <w:t xml:space="preserve">Bijna 80 procent van de WTO-uitgaven betreft salarissen. Deze uitgaven geschieden via een geautomatiseerd </w:t>
      </w:r>
      <w:r>
        <w:rPr>
          <w:rFonts w:cs="Verdana"/>
          <w:iCs/>
          <w:szCs w:val="18"/>
        </w:rPr>
        <w:t>systeem</w:t>
      </w:r>
      <w:r>
        <w:rPr>
          <w:rFonts w:cs="Verdana"/>
          <w:szCs w:val="18"/>
        </w:rPr>
        <w:t>. De overige uitgaven worden gedaan na een prestatieverklaring en een dubbele akkoordverklaring van de financiële afdeling en zijn volledig geautomatiseerd.</w:t>
      </w:r>
    </w:p>
    <w:p w14:paraId="3E0F8368" w14:textId="77777777" w:rsidR="00150BEE" w:rsidRDefault="00150BEE" w:rsidP="00AF2C49">
      <w:pPr>
        <w:autoSpaceDE w:val="0"/>
        <w:autoSpaceDN w:val="0"/>
        <w:adjustRightInd w:val="0"/>
        <w:spacing w:line="240" w:lineRule="auto"/>
        <w:rPr>
          <w:rFonts w:cs="Verdana"/>
          <w:szCs w:val="18"/>
        </w:rPr>
      </w:pPr>
    </w:p>
    <w:p w14:paraId="26FBFFE9" w14:textId="77777777" w:rsidR="00150BEE" w:rsidRDefault="00150BEE" w:rsidP="00AF2C49">
      <w:pPr>
        <w:autoSpaceDE w:val="0"/>
        <w:autoSpaceDN w:val="0"/>
        <w:adjustRightInd w:val="0"/>
        <w:spacing w:line="240" w:lineRule="auto"/>
        <w:rPr>
          <w:rFonts w:cs="Verdana"/>
          <w:szCs w:val="18"/>
        </w:rPr>
      </w:pPr>
      <w:r>
        <w:rPr>
          <w:rFonts w:cs="Verdana"/>
          <w:szCs w:val="18"/>
        </w:rPr>
        <w:t>De organisatie neemt voldoende maatregelen om kostenefficiënt te werken, mede doordat de lidstaten de organisatie al jarenlang nominale nulgroei van de begroting hebben opgelegd. Dat vormt een stimulans voor efficiency en het zoeken naar besparingen om nieuwe activiteiten mogelijk te maken.</w:t>
      </w:r>
    </w:p>
    <w:p w14:paraId="3907235A" w14:textId="77777777" w:rsidR="00150BEE" w:rsidRDefault="00150BEE" w:rsidP="00AF2C49">
      <w:pPr>
        <w:autoSpaceDE w:val="0"/>
        <w:autoSpaceDN w:val="0"/>
        <w:adjustRightInd w:val="0"/>
        <w:spacing w:line="240" w:lineRule="auto"/>
        <w:rPr>
          <w:rFonts w:cs="Verdana"/>
          <w:szCs w:val="18"/>
        </w:rPr>
      </w:pPr>
    </w:p>
    <w:p w14:paraId="08912418" w14:textId="60B22446" w:rsidR="00150BEE" w:rsidRDefault="00150BEE" w:rsidP="00A13499">
      <w:pPr>
        <w:rPr>
          <w:rFonts w:cs="Verdana"/>
          <w:szCs w:val="18"/>
        </w:rPr>
      </w:pPr>
      <w:r>
        <w:rPr>
          <w:rFonts w:cs="Verdana"/>
          <w:szCs w:val="18"/>
        </w:rPr>
        <w:t>De WTO is een van de weinige internationale organisaties waar actief wordt gewerkt aan het probleem van ongedekte langlopende verplichtingen van ziektekosten van gepensioneerde internationale ambtenaren (</w:t>
      </w:r>
      <w:r w:rsidRPr="00CB0EFF">
        <w:rPr>
          <w:rFonts w:cs="Verdana"/>
          <w:i/>
          <w:szCs w:val="18"/>
        </w:rPr>
        <w:t>After Service Health Insurance</w:t>
      </w:r>
      <w:r>
        <w:rPr>
          <w:rFonts w:cs="Verdana"/>
          <w:szCs w:val="18"/>
        </w:rPr>
        <w:t>, ASHI).</w:t>
      </w:r>
      <w:r w:rsidR="004D7F8B">
        <w:rPr>
          <w:rFonts w:cs="Verdana"/>
          <w:szCs w:val="18"/>
        </w:rPr>
        <w:t xml:space="preserve"> Daarnaast </w:t>
      </w:r>
      <w:r w:rsidR="004D7F8B">
        <w:rPr>
          <w:rFonts w:cs="Verdana"/>
          <w:szCs w:val="18"/>
          <w:lang w:eastAsia="ja-JP"/>
        </w:rPr>
        <w:t>volgt WHO het algemene VN-beleid wat betreft salarissen en secundaire arbeidsvoorwaarden. Dit wordt in de vijfde commissie vastgesteld.</w:t>
      </w:r>
    </w:p>
    <w:p w14:paraId="0EB2C10B" w14:textId="77777777" w:rsidR="00150BEE" w:rsidRDefault="00150BEE" w:rsidP="00A13499">
      <w:pPr>
        <w:rPr>
          <w:rFonts w:cs="Verdana"/>
          <w:szCs w:val="18"/>
        </w:rPr>
      </w:pPr>
    </w:p>
    <w:p w14:paraId="1BA41345" w14:textId="77777777" w:rsidR="00150BEE" w:rsidRPr="001269F6" w:rsidRDefault="00150BEE" w:rsidP="00A13499">
      <w:pPr>
        <w:rPr>
          <w:rFonts w:cs="Verdana"/>
          <w:szCs w:val="18"/>
          <w:u w:val="single"/>
        </w:rPr>
      </w:pPr>
      <w:r w:rsidRPr="001269F6">
        <w:rPr>
          <w:rFonts w:cs="Verdana"/>
          <w:szCs w:val="18"/>
          <w:u w:val="single"/>
        </w:rPr>
        <w:t>Technische assistentie</w:t>
      </w:r>
    </w:p>
    <w:p w14:paraId="6910F461" w14:textId="4A5E6071" w:rsidR="00150BEE" w:rsidRDefault="00150BEE" w:rsidP="00A13499">
      <w:pPr>
        <w:rPr>
          <w:rFonts w:cs="Verdana"/>
          <w:szCs w:val="18"/>
        </w:rPr>
      </w:pPr>
      <w:r>
        <w:rPr>
          <w:rFonts w:cs="Verdana"/>
          <w:szCs w:val="18"/>
        </w:rPr>
        <w:t xml:space="preserve">Ondanks de terugloop van vrijwillige bijdragen, </w:t>
      </w:r>
      <w:r w:rsidRPr="004E466E">
        <w:rPr>
          <w:rStyle w:val="A6"/>
          <w:sz w:val="18"/>
          <w:szCs w:val="18"/>
        </w:rPr>
        <w:t xml:space="preserve">heeft het secretariaat een </w:t>
      </w:r>
      <w:r>
        <w:rPr>
          <w:rStyle w:val="A6"/>
          <w:sz w:val="18"/>
          <w:szCs w:val="18"/>
        </w:rPr>
        <w:t>groot</w:t>
      </w:r>
      <w:r w:rsidRPr="004E466E">
        <w:rPr>
          <w:rStyle w:val="A6"/>
          <w:sz w:val="18"/>
          <w:szCs w:val="18"/>
        </w:rPr>
        <w:t xml:space="preserve"> aantal trainingsactiviteiten kunnen uitvoeren.</w:t>
      </w:r>
      <w:r>
        <w:rPr>
          <w:rFonts w:cs="Verdana"/>
          <w:szCs w:val="18"/>
        </w:rPr>
        <w:t xml:space="preserve"> </w:t>
      </w:r>
    </w:p>
    <w:p w14:paraId="5096F9FA" w14:textId="0E81BECA" w:rsidR="00150BEE" w:rsidRPr="00561921" w:rsidRDefault="00150BEE"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150BEE" w:rsidRPr="00561921" w14:paraId="718938DB" w14:textId="77777777" w:rsidTr="00B06CE6">
        <w:tc>
          <w:tcPr>
            <w:tcW w:w="6912" w:type="dxa"/>
            <w:tcBorders>
              <w:top w:val="single" w:sz="12" w:space="0" w:color="auto"/>
              <w:left w:val="single" w:sz="12" w:space="0" w:color="auto"/>
              <w:bottom w:val="single" w:sz="12" w:space="0" w:color="auto"/>
            </w:tcBorders>
            <w:shd w:val="clear" w:color="auto" w:fill="D0CECE"/>
          </w:tcPr>
          <w:p w14:paraId="12A8F93E" w14:textId="77777777" w:rsidR="00150BEE" w:rsidRPr="00561921" w:rsidRDefault="00150BEE" w:rsidP="00382AE3">
            <w:pPr>
              <w:rPr>
                <w:b/>
              </w:rPr>
            </w:pPr>
            <w:r w:rsidRPr="00561921">
              <w:rPr>
                <w:b/>
              </w:rPr>
              <w:t>Onderdeel</w:t>
            </w:r>
          </w:p>
        </w:tc>
        <w:tc>
          <w:tcPr>
            <w:tcW w:w="955" w:type="dxa"/>
            <w:tcBorders>
              <w:top w:val="single" w:sz="12" w:space="0" w:color="auto"/>
              <w:bottom w:val="single" w:sz="12" w:space="0" w:color="auto"/>
              <w:right w:val="single" w:sz="12" w:space="0" w:color="auto"/>
            </w:tcBorders>
            <w:shd w:val="clear" w:color="auto" w:fill="D0CECE"/>
          </w:tcPr>
          <w:p w14:paraId="79C573ED" w14:textId="77777777" w:rsidR="00150BEE" w:rsidRPr="00561921" w:rsidRDefault="00150BEE" w:rsidP="00382AE3">
            <w:pPr>
              <w:rPr>
                <w:b/>
              </w:rPr>
            </w:pPr>
            <w:r w:rsidRPr="00561921">
              <w:rPr>
                <w:b/>
              </w:rPr>
              <w:t>Score</w:t>
            </w:r>
          </w:p>
        </w:tc>
      </w:tr>
      <w:tr w:rsidR="00150BEE" w:rsidRPr="00561921" w14:paraId="3B1DFFF4" w14:textId="77777777" w:rsidTr="00382AE3">
        <w:tc>
          <w:tcPr>
            <w:tcW w:w="6912" w:type="dxa"/>
            <w:tcBorders>
              <w:top w:val="single" w:sz="12" w:space="0" w:color="auto"/>
              <w:left w:val="single" w:sz="12" w:space="0" w:color="auto"/>
            </w:tcBorders>
            <w:shd w:val="clear" w:color="auto" w:fill="auto"/>
          </w:tcPr>
          <w:p w14:paraId="6055CCF8" w14:textId="77777777" w:rsidR="00150BEE" w:rsidRPr="00561921" w:rsidRDefault="00150BEE" w:rsidP="00382AE3">
            <w:r w:rsidRPr="00561921">
              <w:t>Verhouding programma-uitgaven/overhead</w:t>
            </w:r>
          </w:p>
        </w:tc>
        <w:tc>
          <w:tcPr>
            <w:tcW w:w="955" w:type="dxa"/>
            <w:tcBorders>
              <w:top w:val="single" w:sz="12" w:space="0" w:color="auto"/>
              <w:right w:val="single" w:sz="12" w:space="0" w:color="auto"/>
            </w:tcBorders>
            <w:shd w:val="clear" w:color="auto" w:fill="auto"/>
          </w:tcPr>
          <w:p w14:paraId="409EA91E" w14:textId="712F415A" w:rsidR="00150BEE" w:rsidRPr="00561921" w:rsidRDefault="00150BEE" w:rsidP="00382AE3">
            <w:r>
              <w:t>3</w:t>
            </w:r>
          </w:p>
        </w:tc>
      </w:tr>
      <w:tr w:rsidR="00150BEE" w:rsidRPr="00561921" w14:paraId="0EC8B043" w14:textId="77777777" w:rsidTr="00382AE3">
        <w:tc>
          <w:tcPr>
            <w:tcW w:w="6912" w:type="dxa"/>
            <w:tcBorders>
              <w:left w:val="single" w:sz="12" w:space="0" w:color="auto"/>
            </w:tcBorders>
            <w:shd w:val="clear" w:color="auto" w:fill="auto"/>
          </w:tcPr>
          <w:p w14:paraId="2F6F5FDF" w14:textId="77777777" w:rsidR="00150BEE" w:rsidRPr="00561921" w:rsidRDefault="00150BEE" w:rsidP="00A21A93">
            <w:r w:rsidRPr="00561921">
              <w:t>Kosteneffectiviteit programma’s</w:t>
            </w:r>
          </w:p>
        </w:tc>
        <w:tc>
          <w:tcPr>
            <w:tcW w:w="955" w:type="dxa"/>
            <w:tcBorders>
              <w:right w:val="single" w:sz="12" w:space="0" w:color="auto"/>
            </w:tcBorders>
            <w:shd w:val="clear" w:color="auto" w:fill="auto"/>
          </w:tcPr>
          <w:p w14:paraId="2D78D75D" w14:textId="77777777" w:rsidR="00150BEE" w:rsidRPr="00561921" w:rsidRDefault="00150BEE" w:rsidP="00C30E66">
            <w:r>
              <w:t>3</w:t>
            </w:r>
          </w:p>
        </w:tc>
      </w:tr>
      <w:tr w:rsidR="00150BEE" w:rsidRPr="00561921" w14:paraId="046BCE8D" w14:textId="77777777" w:rsidTr="00382AE3">
        <w:tc>
          <w:tcPr>
            <w:tcW w:w="6912" w:type="dxa"/>
            <w:tcBorders>
              <w:left w:val="single" w:sz="12" w:space="0" w:color="auto"/>
            </w:tcBorders>
            <w:shd w:val="clear" w:color="auto" w:fill="auto"/>
          </w:tcPr>
          <w:p w14:paraId="24E5A213" w14:textId="77777777" w:rsidR="00150BEE" w:rsidRPr="00561921" w:rsidRDefault="00150BEE" w:rsidP="00382AE3">
            <w:r w:rsidRPr="00561921">
              <w:t>Versobering salarissen en secundaire arbeidsvoorwaarden</w:t>
            </w:r>
          </w:p>
        </w:tc>
        <w:tc>
          <w:tcPr>
            <w:tcW w:w="955" w:type="dxa"/>
            <w:tcBorders>
              <w:right w:val="single" w:sz="12" w:space="0" w:color="auto"/>
            </w:tcBorders>
            <w:shd w:val="clear" w:color="auto" w:fill="auto"/>
          </w:tcPr>
          <w:p w14:paraId="62F45B13" w14:textId="48784A76" w:rsidR="00150BEE" w:rsidRPr="00561921" w:rsidRDefault="003258B8" w:rsidP="00382AE3">
            <w:r>
              <w:t>3</w:t>
            </w:r>
          </w:p>
        </w:tc>
      </w:tr>
      <w:tr w:rsidR="00150BEE" w:rsidRPr="00561921" w14:paraId="5E2D875C" w14:textId="77777777" w:rsidTr="00B06CE6">
        <w:tc>
          <w:tcPr>
            <w:tcW w:w="6912" w:type="dxa"/>
            <w:tcBorders>
              <w:top w:val="single" w:sz="12" w:space="0" w:color="auto"/>
              <w:left w:val="single" w:sz="12" w:space="0" w:color="auto"/>
              <w:bottom w:val="single" w:sz="12" w:space="0" w:color="auto"/>
            </w:tcBorders>
            <w:shd w:val="clear" w:color="auto" w:fill="D0CECE"/>
          </w:tcPr>
          <w:p w14:paraId="6CD7C3C9" w14:textId="77777777" w:rsidR="00150BEE" w:rsidRPr="00561921" w:rsidRDefault="00150BEE" w:rsidP="00382AE3">
            <w:pPr>
              <w:rPr>
                <w:b/>
              </w:rPr>
            </w:pPr>
            <w:r w:rsidRPr="00561921">
              <w:rPr>
                <w:b/>
              </w:rPr>
              <w:t>TOTAAL</w:t>
            </w:r>
          </w:p>
        </w:tc>
        <w:tc>
          <w:tcPr>
            <w:tcW w:w="955" w:type="dxa"/>
            <w:tcBorders>
              <w:top w:val="single" w:sz="12" w:space="0" w:color="auto"/>
              <w:bottom w:val="single" w:sz="12" w:space="0" w:color="auto"/>
              <w:right w:val="single" w:sz="12" w:space="0" w:color="auto"/>
            </w:tcBorders>
            <w:shd w:val="clear" w:color="auto" w:fill="D0CECE"/>
          </w:tcPr>
          <w:p w14:paraId="3C555860" w14:textId="73733AC2" w:rsidR="00150BEE" w:rsidRPr="00561921" w:rsidRDefault="003258B8" w:rsidP="00382AE3">
            <w:pPr>
              <w:rPr>
                <w:b/>
              </w:rPr>
            </w:pPr>
            <w:r>
              <w:rPr>
                <w:b/>
              </w:rPr>
              <w:t>3</w:t>
            </w:r>
          </w:p>
        </w:tc>
      </w:tr>
    </w:tbl>
    <w:p w14:paraId="7C41EAF1" w14:textId="77777777" w:rsidR="003F6AD3" w:rsidRDefault="003F6AD3" w:rsidP="0031751C"/>
    <w:p w14:paraId="7515DD52" w14:textId="36A5E1CC" w:rsidR="00CE37B2" w:rsidRDefault="00150BEE" w:rsidP="00687CFF">
      <w:pPr>
        <w:ind w:firstLine="227"/>
      </w:pPr>
      <w:r w:rsidRPr="00561921">
        <w:t xml:space="preserve">Verandering sinds 2015: neutraal = </w:t>
      </w:r>
      <w:r w:rsidRPr="00561921">
        <w:sym w:font="Wingdings" w:char="F0E8"/>
      </w:r>
    </w:p>
    <w:p w14:paraId="14D41CE3" w14:textId="77777777" w:rsidR="00DF7E74" w:rsidRPr="00561921" w:rsidRDefault="00DF7E74" w:rsidP="00687CFF">
      <w:pPr>
        <w:ind w:firstLine="227"/>
      </w:pPr>
    </w:p>
    <w:p w14:paraId="5EC67C78" w14:textId="7107CE25" w:rsidR="00150BEE" w:rsidRPr="00A118B5" w:rsidRDefault="009A0711" w:rsidP="004D372F">
      <w:pPr>
        <w:pStyle w:val="Heading2"/>
        <w:tabs>
          <w:tab w:val="left" w:pos="-1162"/>
          <w:tab w:val="left" w:pos="0"/>
          <w:tab w:val="num" w:pos="1160"/>
        </w:tabs>
        <w:spacing w:line="240" w:lineRule="auto"/>
        <w:ind w:hanging="1162"/>
      </w:pPr>
      <w:bookmarkStart w:id="40" w:name="_Toc491440360"/>
      <w:r>
        <w:lastRenderedPageBreak/>
        <w:t>4</w:t>
      </w:r>
      <w:r w:rsidR="00150BEE" w:rsidRPr="00A118B5">
        <w:t xml:space="preserve">.9 </w:t>
      </w:r>
      <w:r w:rsidR="00150BEE" w:rsidRPr="00A118B5">
        <w:tab/>
        <w:t>Corruptiebestrijding</w:t>
      </w:r>
      <w:bookmarkEnd w:id="40"/>
      <w:r w:rsidR="00150BEE" w:rsidRPr="00A118B5">
        <w:t xml:space="preserve"> </w:t>
      </w:r>
    </w:p>
    <w:p w14:paraId="7C5B587C" w14:textId="4C0795DE" w:rsidR="00150BEE" w:rsidRDefault="00150BEE" w:rsidP="00B0521A">
      <w:pPr>
        <w:autoSpaceDE w:val="0"/>
        <w:autoSpaceDN w:val="0"/>
        <w:adjustRightInd w:val="0"/>
        <w:spacing w:line="240" w:lineRule="auto"/>
        <w:rPr>
          <w:rFonts w:cs="Verdana"/>
          <w:szCs w:val="18"/>
        </w:rPr>
      </w:pPr>
      <w:r>
        <w:rPr>
          <w:rFonts w:cs="Verdana"/>
          <w:szCs w:val="18"/>
        </w:rPr>
        <w:t>De WTO heeft adequate administratieve en controlemechanismen</w:t>
      </w:r>
      <w:r w:rsidR="00D91491">
        <w:rPr>
          <w:rFonts w:cs="Verdana"/>
          <w:szCs w:val="18"/>
        </w:rPr>
        <w:t xml:space="preserve"> </w:t>
      </w:r>
      <w:r>
        <w:rPr>
          <w:rFonts w:cs="Verdana"/>
          <w:szCs w:val="18"/>
        </w:rPr>
        <w:t xml:space="preserve">om het weglekken van middelen te voorkomen. Voorbeelden zijn de jaarlijkse rapportages, de activiteiten van interne en externe auditors en het uitgeven </w:t>
      </w:r>
      <w:r w:rsidR="00D91491">
        <w:rPr>
          <w:rFonts w:cs="Verdana"/>
          <w:szCs w:val="18"/>
        </w:rPr>
        <w:t xml:space="preserve">van </w:t>
      </w:r>
      <w:r>
        <w:rPr>
          <w:rFonts w:cs="Verdana"/>
          <w:szCs w:val="18"/>
        </w:rPr>
        <w:t xml:space="preserve">prestatieverklaringen voor overige uitgaven. Dit zijn relatief kleine bedragen, omdat, zoals eerder vermeld, het grootste deel van de kosten van de WTO salariskosten zijn. Overige uitgaven worden gedaan via een geautomatiseerd </w:t>
      </w:r>
      <w:r>
        <w:rPr>
          <w:rFonts w:cs="Verdana"/>
          <w:iCs/>
          <w:szCs w:val="18"/>
        </w:rPr>
        <w:t>systeem</w:t>
      </w:r>
      <w:r>
        <w:rPr>
          <w:rFonts w:cs="Verdana"/>
          <w:szCs w:val="18"/>
        </w:rPr>
        <w:t>. De overige uitgaven worden gedaan na een prestatieverklaring en een dubbele akkoordverklaring van de financiële afdeling. Deze processen zijn volledig geautomatiseerd, wat het risico op corruptie verkleint.</w:t>
      </w:r>
    </w:p>
    <w:p w14:paraId="49D1DFE9" w14:textId="77777777" w:rsidR="00150BEE" w:rsidRDefault="00150BEE" w:rsidP="00B0521A">
      <w:pPr>
        <w:autoSpaceDE w:val="0"/>
        <w:autoSpaceDN w:val="0"/>
        <w:adjustRightInd w:val="0"/>
        <w:spacing w:line="240" w:lineRule="auto"/>
        <w:rPr>
          <w:rFonts w:cs="Verdana"/>
          <w:szCs w:val="18"/>
        </w:rPr>
      </w:pPr>
    </w:p>
    <w:p w14:paraId="7085E49C" w14:textId="417FC575" w:rsidR="00150BEE" w:rsidRDefault="00150BEE" w:rsidP="00B0521A">
      <w:pPr>
        <w:autoSpaceDE w:val="0"/>
        <w:autoSpaceDN w:val="0"/>
        <w:adjustRightInd w:val="0"/>
        <w:spacing w:line="240" w:lineRule="auto"/>
        <w:rPr>
          <w:rFonts w:cs="Verdana"/>
          <w:szCs w:val="18"/>
        </w:rPr>
      </w:pPr>
      <w:r>
        <w:rPr>
          <w:rFonts w:cs="Verdana"/>
          <w:szCs w:val="18"/>
        </w:rPr>
        <w:t xml:space="preserve">Het WTO-secretariaat heeft sedert december 2012 een volledig </w:t>
      </w:r>
      <w:r w:rsidRPr="00D91491">
        <w:rPr>
          <w:rFonts w:cs="Verdana"/>
          <w:i/>
          <w:szCs w:val="18"/>
        </w:rPr>
        <w:t>Risk Management System</w:t>
      </w:r>
      <w:r>
        <w:rPr>
          <w:rFonts w:cs="Verdana"/>
          <w:szCs w:val="18"/>
        </w:rPr>
        <w:t xml:space="preserve">, met een </w:t>
      </w:r>
      <w:r w:rsidRPr="00D91491">
        <w:rPr>
          <w:rFonts w:cs="Verdana"/>
          <w:i/>
          <w:szCs w:val="18"/>
        </w:rPr>
        <w:t>Risk Officer</w:t>
      </w:r>
      <w:r>
        <w:rPr>
          <w:rFonts w:cs="Verdana"/>
          <w:szCs w:val="18"/>
        </w:rPr>
        <w:t xml:space="preserve"> die direct onder de plaatsvervangend </w:t>
      </w:r>
      <w:r w:rsidR="003F6AD3">
        <w:rPr>
          <w:rFonts w:cs="Verdana"/>
          <w:szCs w:val="18"/>
        </w:rPr>
        <w:t>DG</w:t>
      </w:r>
      <w:r>
        <w:rPr>
          <w:rFonts w:cs="Verdana"/>
          <w:szCs w:val="18"/>
        </w:rPr>
        <w:t xml:space="preserve"> werkt en een register van risico’s bijhoudt. Over 2016 werden twee kritische risico’s geïdentificeerd, een financieel (ASHI) en een technologisch (cyberaanvallen) risico. </w:t>
      </w:r>
    </w:p>
    <w:p w14:paraId="0671D957" w14:textId="77777777" w:rsidR="00150BEE" w:rsidRDefault="00150BEE" w:rsidP="00B0521A">
      <w:pPr>
        <w:autoSpaceDE w:val="0"/>
        <w:autoSpaceDN w:val="0"/>
        <w:adjustRightInd w:val="0"/>
        <w:spacing w:line="240" w:lineRule="auto"/>
        <w:rPr>
          <w:rFonts w:cs="Verdana"/>
          <w:szCs w:val="18"/>
        </w:rPr>
      </w:pPr>
    </w:p>
    <w:p w14:paraId="734BDD60" w14:textId="3F6299B1" w:rsidR="00150BEE" w:rsidRDefault="00150BEE" w:rsidP="00B0521A">
      <w:pPr>
        <w:autoSpaceDE w:val="0"/>
        <w:autoSpaceDN w:val="0"/>
        <w:adjustRightInd w:val="0"/>
        <w:spacing w:line="240" w:lineRule="auto"/>
        <w:rPr>
          <w:rFonts w:cs="Verdana"/>
          <w:szCs w:val="18"/>
        </w:rPr>
      </w:pPr>
      <w:r>
        <w:rPr>
          <w:rFonts w:cs="Verdana"/>
          <w:szCs w:val="18"/>
        </w:rPr>
        <w:t xml:space="preserve">De WTO heeft geen formeel anti-corruptiebeleid, maar wel een gedetailleerde gedragscode waar medewerkers zich aan dienen te houden. De financiële structuur en aard van de organisatie leent zich niet voor grootschalige fraude. </w:t>
      </w:r>
    </w:p>
    <w:p w14:paraId="5B31BBE7" w14:textId="77777777" w:rsidR="00150BEE" w:rsidRDefault="00150BEE" w:rsidP="00B0521A">
      <w:pPr>
        <w:autoSpaceDE w:val="0"/>
        <w:autoSpaceDN w:val="0"/>
        <w:adjustRightInd w:val="0"/>
        <w:spacing w:line="240" w:lineRule="auto"/>
        <w:rPr>
          <w:rFonts w:cs="Verdana"/>
          <w:szCs w:val="18"/>
        </w:rPr>
      </w:pPr>
    </w:p>
    <w:p w14:paraId="5B74B853" w14:textId="33DDB9A3" w:rsidR="00150BEE" w:rsidRDefault="00150BEE" w:rsidP="00B0521A">
      <w:pPr>
        <w:autoSpaceDE w:val="0"/>
        <w:autoSpaceDN w:val="0"/>
        <w:adjustRightInd w:val="0"/>
        <w:spacing w:line="240" w:lineRule="auto"/>
        <w:rPr>
          <w:rFonts w:cs="Verdana"/>
          <w:szCs w:val="18"/>
        </w:rPr>
      </w:pPr>
      <w:r>
        <w:rPr>
          <w:rFonts w:cs="Verdana"/>
          <w:szCs w:val="18"/>
        </w:rPr>
        <w:t>Indien er toch vermoedens bestaan over omkopin</w:t>
      </w:r>
      <w:r w:rsidR="00D91491">
        <w:rPr>
          <w:rFonts w:cs="Verdana"/>
          <w:szCs w:val="18"/>
        </w:rPr>
        <w:t xml:space="preserve">g of verduistering van middelen </w:t>
      </w:r>
      <w:r>
        <w:rPr>
          <w:rFonts w:cs="Verdana"/>
          <w:szCs w:val="18"/>
        </w:rPr>
        <w:t>zal de interne auditor een onderzoek instellen. Hij zal hierbij samenwerken met het</w:t>
      </w:r>
      <w:r w:rsidR="00D91491">
        <w:rPr>
          <w:rFonts w:cs="Verdana"/>
          <w:szCs w:val="18"/>
        </w:rPr>
        <w:t xml:space="preserve"> </w:t>
      </w:r>
      <w:r>
        <w:rPr>
          <w:rFonts w:cs="Verdana"/>
          <w:szCs w:val="18"/>
        </w:rPr>
        <w:t>hoofd van de betreffende divisie, de juridisch adviseur van de DG en eventueel</w:t>
      </w:r>
      <w:r w:rsidR="00D91491">
        <w:rPr>
          <w:rFonts w:cs="Verdana"/>
          <w:szCs w:val="18"/>
        </w:rPr>
        <w:t xml:space="preserve"> </w:t>
      </w:r>
      <w:r>
        <w:rPr>
          <w:rFonts w:cs="Verdana"/>
          <w:szCs w:val="18"/>
        </w:rPr>
        <w:t>de veiligheidsdienst van de WTO. De zaak zal uiteindelijk aan de DG worden</w:t>
      </w:r>
      <w:r w:rsidR="00D91491">
        <w:rPr>
          <w:rFonts w:cs="Verdana"/>
          <w:szCs w:val="18"/>
        </w:rPr>
        <w:t xml:space="preserve"> </w:t>
      </w:r>
      <w:r>
        <w:rPr>
          <w:rFonts w:cs="Verdana"/>
          <w:szCs w:val="18"/>
        </w:rPr>
        <w:t>voorgelegd waarbij hij een sanctie kan instellen.</w:t>
      </w:r>
    </w:p>
    <w:p w14:paraId="5DF30020" w14:textId="77777777" w:rsidR="00B0521A" w:rsidRPr="00211CA3" w:rsidRDefault="00B0521A" w:rsidP="00B0521A">
      <w:pPr>
        <w:rPr>
          <w:b/>
          <w:highlight w:val="yellow"/>
        </w:rPr>
      </w:pPr>
    </w:p>
    <w:p w14:paraId="6D4475C6" w14:textId="77777777" w:rsidR="000A22CF" w:rsidRPr="00211CA3" w:rsidRDefault="000A22CF" w:rsidP="000A22C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561921" w14:paraId="48C69BFE" w14:textId="77777777" w:rsidTr="00B06CE6">
        <w:tc>
          <w:tcPr>
            <w:tcW w:w="6912" w:type="dxa"/>
            <w:tcBorders>
              <w:top w:val="single" w:sz="12" w:space="0" w:color="auto"/>
              <w:left w:val="single" w:sz="12" w:space="0" w:color="auto"/>
              <w:bottom w:val="single" w:sz="12" w:space="0" w:color="auto"/>
            </w:tcBorders>
            <w:shd w:val="clear" w:color="auto" w:fill="D0CECE"/>
          </w:tcPr>
          <w:p w14:paraId="183189F4" w14:textId="77777777" w:rsidR="002A310E" w:rsidRPr="00561921" w:rsidRDefault="002A310E" w:rsidP="00382AE3">
            <w:pPr>
              <w:rPr>
                <w:b/>
              </w:rPr>
            </w:pPr>
            <w:r w:rsidRPr="00561921">
              <w:rPr>
                <w:b/>
              </w:rPr>
              <w:t>Onderdeel</w:t>
            </w:r>
          </w:p>
        </w:tc>
        <w:tc>
          <w:tcPr>
            <w:tcW w:w="955" w:type="dxa"/>
            <w:tcBorders>
              <w:top w:val="single" w:sz="12" w:space="0" w:color="auto"/>
              <w:bottom w:val="single" w:sz="12" w:space="0" w:color="auto"/>
              <w:right w:val="single" w:sz="12" w:space="0" w:color="auto"/>
            </w:tcBorders>
            <w:shd w:val="clear" w:color="auto" w:fill="D0CECE"/>
          </w:tcPr>
          <w:p w14:paraId="6B308B4A" w14:textId="77777777" w:rsidR="002A310E" w:rsidRPr="00561921" w:rsidRDefault="00561921" w:rsidP="00382AE3">
            <w:pPr>
              <w:rPr>
                <w:b/>
              </w:rPr>
            </w:pPr>
            <w:r w:rsidRPr="00561921">
              <w:rPr>
                <w:b/>
              </w:rPr>
              <w:t>S</w:t>
            </w:r>
            <w:r w:rsidR="002A310E" w:rsidRPr="00561921">
              <w:rPr>
                <w:b/>
              </w:rPr>
              <w:t>core</w:t>
            </w:r>
          </w:p>
        </w:tc>
      </w:tr>
      <w:tr w:rsidR="002A310E" w:rsidRPr="00561921" w14:paraId="1EFB7648" w14:textId="77777777" w:rsidTr="00382AE3">
        <w:tc>
          <w:tcPr>
            <w:tcW w:w="6912" w:type="dxa"/>
            <w:tcBorders>
              <w:top w:val="single" w:sz="12" w:space="0" w:color="auto"/>
              <w:left w:val="single" w:sz="12" w:space="0" w:color="auto"/>
            </w:tcBorders>
            <w:shd w:val="clear" w:color="auto" w:fill="auto"/>
          </w:tcPr>
          <w:p w14:paraId="1A5D3FC9" w14:textId="77777777" w:rsidR="002A310E" w:rsidRPr="00561921" w:rsidRDefault="000F53BE" w:rsidP="00382AE3">
            <w:r w:rsidRPr="00561921">
              <w:t>Maatregelen rechtmatigheidsrisico’s</w:t>
            </w:r>
          </w:p>
        </w:tc>
        <w:tc>
          <w:tcPr>
            <w:tcW w:w="955" w:type="dxa"/>
            <w:tcBorders>
              <w:top w:val="single" w:sz="12" w:space="0" w:color="auto"/>
              <w:right w:val="single" w:sz="12" w:space="0" w:color="auto"/>
            </w:tcBorders>
            <w:shd w:val="clear" w:color="auto" w:fill="auto"/>
          </w:tcPr>
          <w:p w14:paraId="4F2CB38E" w14:textId="77777777" w:rsidR="002A310E" w:rsidRPr="00561921" w:rsidRDefault="00561921" w:rsidP="00382AE3">
            <w:r w:rsidRPr="00561921">
              <w:t>3</w:t>
            </w:r>
          </w:p>
        </w:tc>
      </w:tr>
      <w:tr w:rsidR="002A310E" w:rsidRPr="00561921" w14:paraId="2748751E" w14:textId="77777777" w:rsidTr="00382AE3">
        <w:tc>
          <w:tcPr>
            <w:tcW w:w="6912" w:type="dxa"/>
            <w:tcBorders>
              <w:left w:val="single" w:sz="12" w:space="0" w:color="auto"/>
            </w:tcBorders>
            <w:shd w:val="clear" w:color="auto" w:fill="auto"/>
          </w:tcPr>
          <w:p w14:paraId="4544B510" w14:textId="77777777" w:rsidR="002A310E" w:rsidRPr="00561921" w:rsidRDefault="000F53BE" w:rsidP="00382AE3">
            <w:r w:rsidRPr="00561921">
              <w:t>Maatregelen doelmatigheidsrisico’s</w:t>
            </w:r>
          </w:p>
        </w:tc>
        <w:tc>
          <w:tcPr>
            <w:tcW w:w="955" w:type="dxa"/>
            <w:tcBorders>
              <w:right w:val="single" w:sz="12" w:space="0" w:color="auto"/>
            </w:tcBorders>
            <w:shd w:val="clear" w:color="auto" w:fill="auto"/>
          </w:tcPr>
          <w:p w14:paraId="5338D0CE" w14:textId="77777777" w:rsidR="002A310E" w:rsidRPr="00561921" w:rsidRDefault="00D67027" w:rsidP="00382AE3">
            <w:r>
              <w:t>4</w:t>
            </w:r>
          </w:p>
        </w:tc>
      </w:tr>
      <w:tr w:rsidR="002A310E" w:rsidRPr="00561921" w14:paraId="1D323464" w14:textId="77777777" w:rsidTr="00382AE3">
        <w:tc>
          <w:tcPr>
            <w:tcW w:w="6912" w:type="dxa"/>
            <w:tcBorders>
              <w:left w:val="single" w:sz="12" w:space="0" w:color="auto"/>
            </w:tcBorders>
            <w:shd w:val="clear" w:color="auto" w:fill="auto"/>
          </w:tcPr>
          <w:p w14:paraId="2FB21AD3" w14:textId="77777777" w:rsidR="002A310E" w:rsidRPr="00561921" w:rsidRDefault="000F53BE" w:rsidP="000F53BE">
            <w:r w:rsidRPr="00561921">
              <w:t xml:space="preserve">Anti-corruptiebeleid </w:t>
            </w:r>
          </w:p>
        </w:tc>
        <w:tc>
          <w:tcPr>
            <w:tcW w:w="955" w:type="dxa"/>
            <w:tcBorders>
              <w:right w:val="single" w:sz="12" w:space="0" w:color="auto"/>
            </w:tcBorders>
            <w:shd w:val="clear" w:color="auto" w:fill="auto"/>
          </w:tcPr>
          <w:p w14:paraId="17B68571" w14:textId="77777777" w:rsidR="002A310E" w:rsidRPr="00561921" w:rsidRDefault="00561921" w:rsidP="00382AE3">
            <w:r w:rsidRPr="00561921">
              <w:t>3</w:t>
            </w:r>
          </w:p>
        </w:tc>
      </w:tr>
      <w:tr w:rsidR="000F53BE" w:rsidRPr="00561921" w14:paraId="41D6E289" w14:textId="77777777" w:rsidTr="00382AE3">
        <w:tc>
          <w:tcPr>
            <w:tcW w:w="6912" w:type="dxa"/>
            <w:tcBorders>
              <w:left w:val="single" w:sz="12" w:space="0" w:color="auto"/>
            </w:tcBorders>
            <w:shd w:val="clear" w:color="auto" w:fill="auto"/>
          </w:tcPr>
          <w:p w14:paraId="54FAA491" w14:textId="77777777" w:rsidR="000F53BE" w:rsidRPr="00561921" w:rsidRDefault="000F53BE" w:rsidP="00382AE3">
            <w:r w:rsidRPr="00561921">
              <w:t>Transparantie integriteitsschendingen</w:t>
            </w:r>
          </w:p>
        </w:tc>
        <w:tc>
          <w:tcPr>
            <w:tcW w:w="955" w:type="dxa"/>
            <w:tcBorders>
              <w:right w:val="single" w:sz="12" w:space="0" w:color="auto"/>
            </w:tcBorders>
            <w:shd w:val="clear" w:color="auto" w:fill="auto"/>
          </w:tcPr>
          <w:p w14:paraId="06586E95" w14:textId="77777777" w:rsidR="000F53BE" w:rsidRPr="00561921" w:rsidRDefault="00561921" w:rsidP="00382AE3">
            <w:r w:rsidRPr="00561921">
              <w:t>3</w:t>
            </w:r>
          </w:p>
        </w:tc>
      </w:tr>
      <w:tr w:rsidR="002A310E" w:rsidRPr="00561921" w14:paraId="3894C234" w14:textId="77777777" w:rsidTr="00B06CE6">
        <w:tc>
          <w:tcPr>
            <w:tcW w:w="6912" w:type="dxa"/>
            <w:tcBorders>
              <w:top w:val="single" w:sz="12" w:space="0" w:color="auto"/>
              <w:left w:val="single" w:sz="12" w:space="0" w:color="auto"/>
              <w:bottom w:val="single" w:sz="12" w:space="0" w:color="auto"/>
            </w:tcBorders>
            <w:shd w:val="clear" w:color="auto" w:fill="D0CECE"/>
          </w:tcPr>
          <w:p w14:paraId="6CEB98D6" w14:textId="77777777" w:rsidR="002A310E" w:rsidRPr="00561921" w:rsidRDefault="002A310E" w:rsidP="00382AE3">
            <w:pPr>
              <w:rPr>
                <w:b/>
              </w:rPr>
            </w:pPr>
            <w:r w:rsidRPr="00561921">
              <w:rPr>
                <w:b/>
              </w:rPr>
              <w:t>TOTAAL</w:t>
            </w:r>
          </w:p>
        </w:tc>
        <w:tc>
          <w:tcPr>
            <w:tcW w:w="955" w:type="dxa"/>
            <w:tcBorders>
              <w:top w:val="single" w:sz="12" w:space="0" w:color="auto"/>
              <w:bottom w:val="single" w:sz="12" w:space="0" w:color="auto"/>
              <w:right w:val="single" w:sz="12" w:space="0" w:color="auto"/>
            </w:tcBorders>
            <w:shd w:val="clear" w:color="auto" w:fill="D0CECE"/>
          </w:tcPr>
          <w:p w14:paraId="7BF1708D" w14:textId="77777777" w:rsidR="002A310E" w:rsidRPr="00561921" w:rsidRDefault="00561921" w:rsidP="00382AE3">
            <w:pPr>
              <w:rPr>
                <w:b/>
              </w:rPr>
            </w:pPr>
            <w:r w:rsidRPr="00561921">
              <w:rPr>
                <w:b/>
              </w:rPr>
              <w:t>3</w:t>
            </w:r>
          </w:p>
        </w:tc>
      </w:tr>
    </w:tbl>
    <w:p w14:paraId="0A4A77E9" w14:textId="77777777" w:rsidR="0031751C" w:rsidRPr="00561921" w:rsidRDefault="0031751C" w:rsidP="00E20A86"/>
    <w:p w14:paraId="701DAF07" w14:textId="4CE768ED" w:rsidR="00D32F98" w:rsidRPr="00561921" w:rsidRDefault="00D32F98" w:rsidP="003F6AD3">
      <w:pPr>
        <w:ind w:firstLine="227"/>
      </w:pPr>
      <w:r w:rsidRPr="00561921">
        <w:t>V</w:t>
      </w:r>
      <w:r w:rsidR="001269F6">
        <w:t>erandering sinds 2015:</w:t>
      </w:r>
      <w:r w:rsidRPr="00561921">
        <w:t xml:space="preserve"> neutraal = </w:t>
      </w:r>
      <w:r w:rsidRPr="00561921">
        <w:sym w:font="Wingdings" w:char="F0E8"/>
      </w:r>
    </w:p>
    <w:p w14:paraId="752DE05E" w14:textId="36AD1978" w:rsidR="009534EF" w:rsidRDefault="003F6AD3" w:rsidP="004D372F">
      <w:pPr>
        <w:pStyle w:val="Heading1"/>
        <w:tabs>
          <w:tab w:val="num" w:pos="0"/>
        </w:tabs>
        <w:spacing w:after="240" w:line="240" w:lineRule="auto"/>
        <w:ind w:hanging="1162"/>
      </w:pPr>
      <w:bookmarkStart w:id="41" w:name="_Toc491440361"/>
      <w:r>
        <w:lastRenderedPageBreak/>
        <w:t>5</w:t>
      </w:r>
      <w:r w:rsidR="004D372F" w:rsidRPr="00B10878">
        <w:t xml:space="preserve"> </w:t>
      </w:r>
      <w:r w:rsidR="004D372F" w:rsidRPr="00B10878">
        <w:tab/>
      </w:r>
      <w:bookmarkStart w:id="42" w:name="_Toc348364679"/>
      <w:r w:rsidR="008409AE" w:rsidRPr="00B10878">
        <w:t>R</w:t>
      </w:r>
      <w:r w:rsidR="009534EF" w:rsidRPr="00B10878">
        <w:t>elevantie van de organisatie</w:t>
      </w:r>
      <w:bookmarkEnd w:id="42"/>
      <w:bookmarkEnd w:id="41"/>
    </w:p>
    <w:p w14:paraId="29B6D561" w14:textId="23D9BC8B" w:rsidR="00AB3D16" w:rsidRDefault="00AB3D16" w:rsidP="00AB3D16">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7322D52B" w14:textId="77777777" w:rsidR="00687CFF" w:rsidRPr="00AB3D16" w:rsidRDefault="00687CFF" w:rsidP="00AB3D16"/>
    <w:p w14:paraId="48D71954" w14:textId="3F161446" w:rsidR="0027051F" w:rsidRPr="00B10878" w:rsidRDefault="003F6AD3" w:rsidP="0008255C">
      <w:pPr>
        <w:pStyle w:val="Heading2"/>
        <w:tabs>
          <w:tab w:val="left" w:pos="-1162"/>
          <w:tab w:val="left" w:pos="0"/>
        </w:tabs>
        <w:spacing w:line="240" w:lineRule="auto"/>
        <w:ind w:hanging="1134"/>
      </w:pPr>
      <w:bookmarkStart w:id="43" w:name="_Toc491440362"/>
      <w:r>
        <w:t>5</w:t>
      </w:r>
      <w:r w:rsidR="0027051F" w:rsidRPr="00B10878">
        <w:t xml:space="preserve">.1 </w:t>
      </w:r>
      <w:r w:rsidR="0008255C" w:rsidRPr="00B10878">
        <w:tab/>
      </w:r>
      <w:r w:rsidR="0027051F" w:rsidRPr="00B10878">
        <w:t>Relevantie voor Nederlandse BHOS-prioriteiten</w:t>
      </w:r>
      <w:bookmarkEnd w:id="43"/>
    </w:p>
    <w:p w14:paraId="3E315BD4" w14:textId="7E8A7388" w:rsidR="009A0711" w:rsidRPr="009A0711" w:rsidRDefault="006C5267" w:rsidP="009A0711">
      <w:pPr>
        <w:autoSpaceDE w:val="0"/>
        <w:autoSpaceDN w:val="0"/>
        <w:adjustRightInd w:val="0"/>
        <w:spacing w:line="240" w:lineRule="auto"/>
        <w:rPr>
          <w:rFonts w:cs="Verdana"/>
          <w:szCs w:val="18"/>
          <w:u w:val="single"/>
          <w:lang w:eastAsia="ja-JP"/>
        </w:rPr>
      </w:pPr>
      <w:r>
        <w:rPr>
          <w:rFonts w:cs="Verdana"/>
          <w:szCs w:val="18"/>
          <w:u w:val="single"/>
          <w:lang w:eastAsia="ja-JP"/>
        </w:rPr>
        <w:t>Private sector ontwikkeling</w:t>
      </w:r>
    </w:p>
    <w:p w14:paraId="7D87F9F5" w14:textId="5D259BFA" w:rsidR="009A0711" w:rsidRPr="001269F6" w:rsidRDefault="009A0711" w:rsidP="009A0711">
      <w:pPr>
        <w:autoSpaceDE w:val="0"/>
        <w:autoSpaceDN w:val="0"/>
        <w:adjustRightInd w:val="0"/>
        <w:spacing w:line="240" w:lineRule="auto"/>
        <w:rPr>
          <w:highlight w:val="yellow"/>
        </w:rPr>
      </w:pPr>
      <w:r>
        <w:rPr>
          <w:rFonts w:cs="Verdana"/>
          <w:i/>
          <w:szCs w:val="18"/>
          <w:lang w:eastAsia="ja-JP"/>
        </w:rPr>
        <w:t xml:space="preserve">Relevant. </w:t>
      </w:r>
      <w:r>
        <w:rPr>
          <w:rFonts w:cs="Verdana"/>
          <w:szCs w:val="18"/>
          <w:lang w:eastAsia="ja-JP"/>
        </w:rPr>
        <w:t xml:space="preserve">Doordat in WTO-kader nieuwe afspraken worden gemaakt over de vrijmaking van handel en de kaders waarbinnen internationale handel plaatsvindt, draagt de WTO bij aan de ontwikkeling van een gunstiger en stabieler handels- en investeringsklimaat. Juist voor ontwikkelingslanden is dit van belang, omdat deze landen vaak minder aantrekkelijk zijn voor bedrijven om in te investeren of om mee te handelen. </w:t>
      </w:r>
    </w:p>
    <w:p w14:paraId="51031256" w14:textId="02973D50" w:rsidR="009A0711" w:rsidRDefault="009A0711" w:rsidP="00ED6C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916"/>
        <w:gridCol w:w="1936"/>
        <w:gridCol w:w="1908"/>
      </w:tblGrid>
      <w:tr w:rsidR="009A0711" w:rsidRPr="00792AB2" w14:paraId="1BEE062D" w14:textId="77777777" w:rsidTr="009A0711">
        <w:tc>
          <w:tcPr>
            <w:tcW w:w="7888"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A6A528F" w14:textId="77777777" w:rsidR="009A0711" w:rsidRPr="00792AB2" w:rsidRDefault="009A0711" w:rsidP="009A0711">
            <w:pPr>
              <w:rPr>
                <w:b/>
              </w:rPr>
            </w:pPr>
            <w:r>
              <w:rPr>
                <w:b/>
              </w:rPr>
              <w:t>Relevantie voor de Nederlandse BHOS-prioriteiten</w:t>
            </w:r>
          </w:p>
        </w:tc>
      </w:tr>
      <w:tr w:rsidR="009A0711" w:rsidRPr="00792AB2" w14:paraId="19372264" w14:textId="77777777" w:rsidTr="00D20A5C">
        <w:tc>
          <w:tcPr>
            <w:tcW w:w="1987" w:type="dxa"/>
            <w:tcBorders>
              <w:top w:val="single" w:sz="12" w:space="0" w:color="auto"/>
              <w:left w:val="single" w:sz="12" w:space="0" w:color="auto"/>
              <w:bottom w:val="single" w:sz="12" w:space="0" w:color="auto"/>
            </w:tcBorders>
            <w:shd w:val="clear" w:color="auto" w:fill="BFBFBF" w:themeFill="background1" w:themeFillShade="BF"/>
          </w:tcPr>
          <w:p w14:paraId="156FB81A" w14:textId="77777777" w:rsidR="009A0711" w:rsidRPr="00792AB2" w:rsidRDefault="009A0711" w:rsidP="009A0711">
            <w:pPr>
              <w:rPr>
                <w:b/>
                <w:i/>
              </w:rPr>
            </w:pPr>
          </w:p>
        </w:tc>
        <w:tc>
          <w:tcPr>
            <w:tcW w:w="1967" w:type="dxa"/>
            <w:tcBorders>
              <w:top w:val="single" w:sz="12" w:space="0" w:color="auto"/>
              <w:bottom w:val="single" w:sz="12" w:space="0" w:color="auto"/>
            </w:tcBorders>
            <w:shd w:val="clear" w:color="auto" w:fill="BFBFBF" w:themeFill="background1" w:themeFillShade="BF"/>
          </w:tcPr>
          <w:p w14:paraId="79F6896B" w14:textId="77777777" w:rsidR="009A0711" w:rsidRPr="00792AB2" w:rsidRDefault="009A0711" w:rsidP="009A0711">
            <w:pPr>
              <w:rPr>
                <w:b/>
              </w:rPr>
            </w:pPr>
            <w:r w:rsidRPr="00792AB2">
              <w:rPr>
                <w:b/>
              </w:rPr>
              <w:t>Uitvoerend</w:t>
            </w:r>
          </w:p>
        </w:tc>
        <w:tc>
          <w:tcPr>
            <w:tcW w:w="1967" w:type="dxa"/>
            <w:tcBorders>
              <w:top w:val="single" w:sz="12" w:space="0" w:color="auto"/>
              <w:bottom w:val="single" w:sz="12" w:space="0" w:color="auto"/>
            </w:tcBorders>
            <w:shd w:val="clear" w:color="auto" w:fill="BFBFBF" w:themeFill="background1" w:themeFillShade="BF"/>
          </w:tcPr>
          <w:p w14:paraId="0202D51F" w14:textId="77777777" w:rsidR="009A0711" w:rsidRPr="00792AB2" w:rsidRDefault="009A0711" w:rsidP="009A0711">
            <w:pPr>
              <w:rPr>
                <w:b/>
              </w:rPr>
            </w:pPr>
            <w:r w:rsidRPr="00792AB2">
              <w:rPr>
                <w:b/>
              </w:rPr>
              <w:t>Coördinerend</w:t>
            </w:r>
          </w:p>
        </w:tc>
        <w:tc>
          <w:tcPr>
            <w:tcW w:w="1967" w:type="dxa"/>
            <w:tcBorders>
              <w:top w:val="single" w:sz="12" w:space="0" w:color="auto"/>
              <w:bottom w:val="single" w:sz="12" w:space="0" w:color="auto"/>
              <w:right w:val="single" w:sz="12" w:space="0" w:color="auto"/>
            </w:tcBorders>
            <w:shd w:val="clear" w:color="auto" w:fill="BFBFBF" w:themeFill="background1" w:themeFillShade="BF"/>
          </w:tcPr>
          <w:p w14:paraId="41B6B47E" w14:textId="77777777" w:rsidR="009A0711" w:rsidRPr="00792AB2" w:rsidRDefault="009A0711" w:rsidP="009A0711">
            <w:pPr>
              <w:rPr>
                <w:b/>
              </w:rPr>
            </w:pPr>
            <w:r w:rsidRPr="00792AB2">
              <w:rPr>
                <w:b/>
              </w:rPr>
              <w:t>Normatief</w:t>
            </w:r>
          </w:p>
        </w:tc>
      </w:tr>
      <w:tr w:rsidR="00B11EFF" w:rsidRPr="00B10878" w14:paraId="18AC4240" w14:textId="77777777" w:rsidTr="00D20A5C">
        <w:tc>
          <w:tcPr>
            <w:tcW w:w="1987" w:type="dxa"/>
            <w:tcBorders>
              <w:top w:val="single" w:sz="12" w:space="0" w:color="auto"/>
              <w:left w:val="single" w:sz="12" w:space="0" w:color="auto"/>
              <w:bottom w:val="single" w:sz="12" w:space="0" w:color="auto"/>
            </w:tcBorders>
            <w:shd w:val="clear" w:color="auto" w:fill="auto"/>
          </w:tcPr>
          <w:p w14:paraId="7E2F3831" w14:textId="5A8FDB8A" w:rsidR="00B11EFF" w:rsidRPr="00B10878" w:rsidRDefault="009A0711" w:rsidP="006C5267">
            <w:r>
              <w:t xml:space="preserve">Private sector </w:t>
            </w:r>
            <w:r w:rsidR="006C5267">
              <w:t>ontwikkeling</w:t>
            </w:r>
          </w:p>
        </w:tc>
        <w:tc>
          <w:tcPr>
            <w:tcW w:w="1967" w:type="dxa"/>
            <w:tcBorders>
              <w:top w:val="single" w:sz="12" w:space="0" w:color="auto"/>
              <w:bottom w:val="single" w:sz="12" w:space="0" w:color="auto"/>
            </w:tcBorders>
            <w:shd w:val="clear" w:color="auto" w:fill="auto"/>
          </w:tcPr>
          <w:p w14:paraId="748BB1CC" w14:textId="31F3E117" w:rsidR="00B11EFF" w:rsidRPr="00B10878" w:rsidRDefault="00147A07" w:rsidP="006C5267">
            <w:r>
              <w:t>4</w:t>
            </w:r>
          </w:p>
        </w:tc>
        <w:tc>
          <w:tcPr>
            <w:tcW w:w="1967" w:type="dxa"/>
            <w:tcBorders>
              <w:top w:val="single" w:sz="12" w:space="0" w:color="auto"/>
              <w:bottom w:val="single" w:sz="12" w:space="0" w:color="auto"/>
            </w:tcBorders>
            <w:shd w:val="clear" w:color="auto" w:fill="auto"/>
          </w:tcPr>
          <w:p w14:paraId="2E30E502" w14:textId="77777777" w:rsidR="00B11EFF" w:rsidRPr="00B10878" w:rsidRDefault="00B11EFF" w:rsidP="009A0711"/>
        </w:tc>
        <w:tc>
          <w:tcPr>
            <w:tcW w:w="1967" w:type="dxa"/>
            <w:tcBorders>
              <w:top w:val="single" w:sz="12" w:space="0" w:color="auto"/>
              <w:bottom w:val="single" w:sz="12" w:space="0" w:color="auto"/>
              <w:right w:val="single" w:sz="12" w:space="0" w:color="auto"/>
            </w:tcBorders>
            <w:shd w:val="clear" w:color="auto" w:fill="auto"/>
          </w:tcPr>
          <w:p w14:paraId="24CE47FC" w14:textId="77777777" w:rsidR="00B11EFF" w:rsidRPr="00B10878" w:rsidRDefault="00B11EFF" w:rsidP="009A0711"/>
        </w:tc>
      </w:tr>
    </w:tbl>
    <w:p w14:paraId="074EADB6" w14:textId="1919CFEF" w:rsidR="00B11EFF" w:rsidRDefault="00B11EFF" w:rsidP="00ED6CDA"/>
    <w:p w14:paraId="078D62EF" w14:textId="0EA0EFC6" w:rsidR="008624F0" w:rsidRPr="00B10878" w:rsidRDefault="003F6AD3" w:rsidP="008624F0">
      <w:pPr>
        <w:pStyle w:val="Heading2"/>
        <w:tabs>
          <w:tab w:val="left" w:pos="-1162"/>
          <w:tab w:val="left" w:pos="0"/>
          <w:tab w:val="num" w:pos="1160"/>
        </w:tabs>
        <w:spacing w:line="240" w:lineRule="auto"/>
        <w:ind w:hanging="1162"/>
      </w:pPr>
      <w:bookmarkStart w:id="44" w:name="_Toc410140912"/>
      <w:bookmarkStart w:id="45" w:name="_Toc491440363"/>
      <w:r>
        <w:t>5</w:t>
      </w:r>
      <w:r w:rsidR="003331DA" w:rsidRPr="00B10878">
        <w:t>.</w:t>
      </w:r>
      <w:r w:rsidR="00195B13" w:rsidRPr="00B10878">
        <w:t>2</w:t>
      </w:r>
      <w:r w:rsidR="008624F0" w:rsidRPr="00B10878">
        <w:tab/>
        <w:t>Overige relevantie</w:t>
      </w:r>
      <w:bookmarkEnd w:id="44"/>
      <w:bookmarkEnd w:id="45"/>
      <w:r w:rsidR="0057402A" w:rsidRPr="00B10878">
        <w:t xml:space="preserve"> </w:t>
      </w:r>
    </w:p>
    <w:p w14:paraId="570BC89F" w14:textId="77777777" w:rsidR="00535927" w:rsidRDefault="00535927" w:rsidP="00535927">
      <w:r w:rsidRPr="009A3122">
        <w:t>De WTO is dé multilaterale organisatie waarin afspraken worden gemaakt over de mondiale regels op het gebied van handel</w:t>
      </w:r>
      <w:r>
        <w:t xml:space="preserve"> en is de enige organisatie die een effectief geschillenbeslechtingssysteem heeft om deze regels af te dwingen</w:t>
      </w:r>
      <w:r w:rsidRPr="009A3122">
        <w:t xml:space="preserve"> Daarmee is de WTO uitermate relevant voor Buitenlandse Handel en Ontwikkelingssamenwerking. </w:t>
      </w:r>
    </w:p>
    <w:p w14:paraId="7A1C6BA0" w14:textId="77777777" w:rsidR="00535927" w:rsidRDefault="00535927" w:rsidP="00535927"/>
    <w:p w14:paraId="2F59E099" w14:textId="77777777" w:rsidR="00535927" w:rsidRDefault="00535927" w:rsidP="00535927">
      <w:pPr>
        <w:autoSpaceDE w:val="0"/>
        <w:autoSpaceDN w:val="0"/>
        <w:adjustRightInd w:val="0"/>
        <w:spacing w:line="240" w:lineRule="auto"/>
        <w:rPr>
          <w:rFonts w:cs="Verdana"/>
          <w:szCs w:val="18"/>
          <w:lang w:eastAsia="ja-JP"/>
        </w:rPr>
      </w:pPr>
      <w:r>
        <w:rPr>
          <w:rFonts w:cs="Verdana"/>
          <w:szCs w:val="18"/>
          <w:lang w:eastAsia="ja-JP"/>
        </w:rPr>
        <w:t xml:space="preserve">Door de moeizame onderhandelingen sinds 2001 hebben verschillende WTO-leden de stap gezet om ook in bilateraal (en plurilateraal) verband handelsakkoorden te sluiten. Deze akkoorden bouwen altijd voort op reeds gemaakte afspraken in WTO-verband. Hoewel deze handelsakkoorden uiteindelijk bouwstenen kunnen zijn voor volgende stappen in multilateraal verband, heeft dit de focus van beleidsmakers deels verlegd van de WTO naar bilaterale handelsakkoorden. Dit neemt niet weg dat multilaterale handelsakkoorden door Nederland nog steeds wordt gezien als de meest aantrekkelijke optie. </w:t>
      </w:r>
    </w:p>
    <w:p w14:paraId="260A10A5" w14:textId="77777777" w:rsidR="00535927" w:rsidRDefault="00535927" w:rsidP="00535927">
      <w:pPr>
        <w:autoSpaceDE w:val="0"/>
        <w:autoSpaceDN w:val="0"/>
        <w:adjustRightInd w:val="0"/>
        <w:spacing w:line="240" w:lineRule="auto"/>
        <w:rPr>
          <w:rFonts w:cs="Verdana"/>
          <w:szCs w:val="18"/>
          <w:lang w:eastAsia="ja-JP"/>
        </w:rPr>
      </w:pPr>
    </w:p>
    <w:p w14:paraId="6B2D5338" w14:textId="77777777" w:rsidR="00535927" w:rsidRDefault="00535927" w:rsidP="00535927">
      <w:pPr>
        <w:autoSpaceDE w:val="0"/>
        <w:autoSpaceDN w:val="0"/>
        <w:adjustRightInd w:val="0"/>
        <w:spacing w:line="240" w:lineRule="auto"/>
        <w:rPr>
          <w:rFonts w:cs="Verdana"/>
          <w:szCs w:val="18"/>
          <w:lang w:eastAsia="ja-JP"/>
        </w:rPr>
      </w:pPr>
      <w:r>
        <w:rPr>
          <w:rFonts w:cs="Verdana"/>
          <w:szCs w:val="18"/>
          <w:lang w:eastAsia="ja-JP"/>
        </w:rPr>
        <w:t>Ondanks de opkomst van handelsakkoorden in kleinere formaties, spelen de reguliere comités en de geschillenbeslechtingsprocedure van de WTO nog steeds een cruciale rol in de internationale handel. Reguliere comités zorgen dat handelsbelemmeringen besproken en opgelost worden. Indien wenselijk kan het geschillenbeslechtingsmechanisme geschillen beslechten en leden in uiterste gevallen toestaan compenserende maatregelen te nemen. Bovendien zijn de uitspraken van dit orgaan sterk richtinggevend in de uitleg van de multilaterale WTO-akkoorden.</w:t>
      </w:r>
    </w:p>
    <w:p w14:paraId="44DE7DE9" w14:textId="77777777" w:rsidR="00535927" w:rsidRDefault="00535927" w:rsidP="00535927">
      <w:pPr>
        <w:autoSpaceDE w:val="0"/>
        <w:autoSpaceDN w:val="0"/>
        <w:adjustRightInd w:val="0"/>
        <w:spacing w:line="240" w:lineRule="auto"/>
        <w:rPr>
          <w:rFonts w:cs="Verdana"/>
          <w:szCs w:val="18"/>
          <w:lang w:eastAsia="ja-JP"/>
        </w:rPr>
      </w:pPr>
    </w:p>
    <w:p w14:paraId="26912325" w14:textId="77777777" w:rsidR="00535927" w:rsidRDefault="00535927" w:rsidP="00535927">
      <w:pPr>
        <w:autoSpaceDE w:val="0"/>
        <w:autoSpaceDN w:val="0"/>
        <w:adjustRightInd w:val="0"/>
        <w:spacing w:line="240" w:lineRule="auto"/>
        <w:rPr>
          <w:rFonts w:cs="Verdana"/>
          <w:szCs w:val="18"/>
          <w:lang w:eastAsia="ja-JP"/>
        </w:rPr>
      </w:pPr>
      <w:r>
        <w:rPr>
          <w:rFonts w:cs="Verdana"/>
          <w:szCs w:val="18"/>
          <w:lang w:eastAsia="ja-JP"/>
        </w:rPr>
        <w:t xml:space="preserve">Op het gebied van </w:t>
      </w:r>
      <w:r w:rsidRPr="00D91491">
        <w:rPr>
          <w:rFonts w:cs="Verdana"/>
          <w:i/>
          <w:szCs w:val="18"/>
          <w:lang w:eastAsia="ja-JP"/>
        </w:rPr>
        <w:t>Aid for Trade</w:t>
      </w:r>
      <w:r>
        <w:rPr>
          <w:rFonts w:cs="Verdana"/>
          <w:szCs w:val="18"/>
          <w:lang w:eastAsia="ja-JP"/>
        </w:rPr>
        <w:t xml:space="preserve"> heeft de WTO een coördinerende rol. </w:t>
      </w:r>
      <w:r w:rsidRPr="00D91491">
        <w:rPr>
          <w:rFonts w:cs="Verdana"/>
          <w:i/>
          <w:szCs w:val="18"/>
          <w:lang w:eastAsia="ja-JP"/>
        </w:rPr>
        <w:t>Aid for Trade</w:t>
      </w:r>
      <w:r>
        <w:rPr>
          <w:rFonts w:cs="Verdana"/>
          <w:szCs w:val="18"/>
          <w:lang w:eastAsia="ja-JP"/>
        </w:rPr>
        <w:t xml:space="preserve">-activiteiten dienen ertoe dat landen en/of bedrijven geholpen worden gebruik te maken van mogelijkheden die internationale handel biedt. De WTO is met haar </w:t>
      </w:r>
      <w:r>
        <w:rPr>
          <w:rFonts w:cs="Verdana"/>
          <w:szCs w:val="18"/>
          <w:lang w:eastAsia="ja-JP"/>
        </w:rPr>
        <w:lastRenderedPageBreak/>
        <w:t xml:space="preserve">kennis en kunde van internationale handelsregels een geschikte actor om deze activiteiten te inventariseren en te monitoren. </w:t>
      </w:r>
    </w:p>
    <w:p w14:paraId="28FE1191" w14:textId="77777777" w:rsidR="00535927" w:rsidRDefault="00535927" w:rsidP="00535927">
      <w:pPr>
        <w:autoSpaceDE w:val="0"/>
        <w:autoSpaceDN w:val="0"/>
        <w:adjustRightInd w:val="0"/>
        <w:spacing w:line="240" w:lineRule="auto"/>
        <w:rPr>
          <w:rFonts w:cs="Verdana"/>
          <w:szCs w:val="18"/>
          <w:lang w:eastAsia="ja-JP"/>
        </w:rPr>
      </w:pPr>
    </w:p>
    <w:p w14:paraId="35F4BA53" w14:textId="77777777" w:rsidR="00535927" w:rsidRDefault="00535927" w:rsidP="00535927">
      <w:pPr>
        <w:autoSpaceDE w:val="0"/>
        <w:autoSpaceDN w:val="0"/>
        <w:adjustRightInd w:val="0"/>
        <w:spacing w:line="240" w:lineRule="auto"/>
        <w:rPr>
          <w:rFonts w:cs="Verdana"/>
          <w:szCs w:val="18"/>
          <w:u w:val="single"/>
          <w:lang w:eastAsia="ja-JP"/>
        </w:rPr>
      </w:pPr>
      <w:r>
        <w:rPr>
          <w:rFonts w:cs="Verdana"/>
          <w:szCs w:val="18"/>
          <w:u w:val="single"/>
          <w:lang w:eastAsia="ja-JP"/>
        </w:rPr>
        <w:t>Technische assistentie</w:t>
      </w:r>
    </w:p>
    <w:p w14:paraId="089CC30B" w14:textId="77777777" w:rsidR="00535927" w:rsidRPr="0032788D" w:rsidRDefault="00535927" w:rsidP="00535927">
      <w:pPr>
        <w:autoSpaceDE w:val="0"/>
        <w:autoSpaceDN w:val="0"/>
        <w:adjustRightInd w:val="0"/>
        <w:spacing w:line="240" w:lineRule="auto"/>
        <w:rPr>
          <w:rFonts w:cs="Verdana"/>
          <w:szCs w:val="18"/>
          <w:lang w:eastAsia="ja-JP"/>
        </w:rPr>
      </w:pPr>
      <w:r>
        <w:rPr>
          <w:rFonts w:cs="Verdana"/>
          <w:szCs w:val="18"/>
          <w:lang w:eastAsia="ja-JP"/>
        </w:rPr>
        <w:t xml:space="preserve">De technische assistentie die de WTO biedt is specifiek en beperkt. Het is moeilijk voor te stellen dat er een andere actor is die deze assistentie beter of zelfs op dezelfde manier zou kunnen bieden.  </w:t>
      </w:r>
    </w:p>
    <w:p w14:paraId="332302D0" w14:textId="47C34F26" w:rsidR="002B7582" w:rsidRDefault="002B7582" w:rsidP="002B75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35"/>
        <w:gridCol w:w="1954"/>
        <w:gridCol w:w="1893"/>
      </w:tblGrid>
      <w:tr w:rsidR="009A0711" w:rsidRPr="00B06CE6" w14:paraId="14425A7D" w14:textId="77777777" w:rsidTr="00A53C7D">
        <w:tc>
          <w:tcPr>
            <w:tcW w:w="7867" w:type="dxa"/>
            <w:gridSpan w:val="4"/>
            <w:tcBorders>
              <w:top w:val="single" w:sz="12" w:space="0" w:color="auto"/>
              <w:left w:val="single" w:sz="12" w:space="0" w:color="auto"/>
              <w:right w:val="single" w:sz="12" w:space="0" w:color="auto"/>
            </w:tcBorders>
            <w:shd w:val="clear" w:color="auto" w:fill="BFBFBF" w:themeFill="background1" w:themeFillShade="BF"/>
          </w:tcPr>
          <w:p w14:paraId="5ED45EB6" w14:textId="77777777" w:rsidR="009A0711" w:rsidRPr="00B06CE6" w:rsidRDefault="009A0711" w:rsidP="009A0711">
            <w:pPr>
              <w:rPr>
                <w:b/>
              </w:rPr>
            </w:pPr>
            <w:r>
              <w:rPr>
                <w:b/>
              </w:rPr>
              <w:t>Overige Relevantie</w:t>
            </w:r>
          </w:p>
        </w:tc>
      </w:tr>
      <w:tr w:rsidR="00AC2B6D" w:rsidRPr="00B10878" w14:paraId="33678F35" w14:textId="77777777" w:rsidTr="00D20A5C">
        <w:tc>
          <w:tcPr>
            <w:tcW w:w="1951" w:type="dxa"/>
            <w:tcBorders>
              <w:top w:val="single" w:sz="12" w:space="0" w:color="auto"/>
              <w:left w:val="single" w:sz="12" w:space="0" w:color="auto"/>
              <w:bottom w:val="single" w:sz="12" w:space="0" w:color="auto"/>
            </w:tcBorders>
            <w:shd w:val="clear" w:color="auto" w:fill="BFBFBF" w:themeFill="background1" w:themeFillShade="BF"/>
          </w:tcPr>
          <w:p w14:paraId="01FB01CC" w14:textId="77777777" w:rsidR="00AC2B6D" w:rsidRPr="00B10878" w:rsidRDefault="00AC2B6D" w:rsidP="009A0711">
            <w:pPr>
              <w:rPr>
                <w:i/>
              </w:rPr>
            </w:pPr>
          </w:p>
        </w:tc>
        <w:tc>
          <w:tcPr>
            <w:tcW w:w="1985" w:type="dxa"/>
            <w:tcBorders>
              <w:top w:val="single" w:sz="12" w:space="0" w:color="auto"/>
              <w:bottom w:val="single" w:sz="12" w:space="0" w:color="auto"/>
            </w:tcBorders>
            <w:shd w:val="clear" w:color="auto" w:fill="BFBFBF" w:themeFill="background1" w:themeFillShade="BF"/>
          </w:tcPr>
          <w:p w14:paraId="1580A1FD" w14:textId="77777777" w:rsidR="00AC2B6D" w:rsidRPr="00B10878" w:rsidRDefault="00AC2B6D" w:rsidP="009A0711">
            <w:pPr>
              <w:rPr>
                <w:b/>
              </w:rPr>
            </w:pPr>
            <w:r w:rsidRPr="00B10878">
              <w:rPr>
                <w:b/>
              </w:rPr>
              <w:t>Uitvoerend</w:t>
            </w:r>
          </w:p>
        </w:tc>
        <w:tc>
          <w:tcPr>
            <w:tcW w:w="1984" w:type="dxa"/>
            <w:tcBorders>
              <w:top w:val="single" w:sz="12" w:space="0" w:color="auto"/>
              <w:bottom w:val="single" w:sz="12" w:space="0" w:color="auto"/>
            </w:tcBorders>
            <w:shd w:val="clear" w:color="auto" w:fill="BFBFBF" w:themeFill="background1" w:themeFillShade="BF"/>
          </w:tcPr>
          <w:p w14:paraId="02D32734" w14:textId="77777777" w:rsidR="00AC2B6D" w:rsidRPr="00B10878" w:rsidRDefault="00AC2B6D" w:rsidP="009A0711">
            <w:pPr>
              <w:rPr>
                <w:b/>
              </w:rPr>
            </w:pPr>
            <w:r w:rsidRPr="00B10878">
              <w:rPr>
                <w:b/>
              </w:rPr>
              <w:t>Coördinerend</w:t>
            </w:r>
          </w:p>
        </w:tc>
        <w:tc>
          <w:tcPr>
            <w:tcW w:w="1947" w:type="dxa"/>
            <w:tcBorders>
              <w:top w:val="single" w:sz="12" w:space="0" w:color="auto"/>
              <w:bottom w:val="single" w:sz="12" w:space="0" w:color="auto"/>
              <w:right w:val="single" w:sz="12" w:space="0" w:color="auto"/>
            </w:tcBorders>
            <w:shd w:val="clear" w:color="auto" w:fill="BFBFBF" w:themeFill="background1" w:themeFillShade="BF"/>
          </w:tcPr>
          <w:p w14:paraId="7993BA86" w14:textId="77777777" w:rsidR="00AC2B6D" w:rsidRPr="00B10878" w:rsidRDefault="00AC2B6D" w:rsidP="009A0711">
            <w:pPr>
              <w:rPr>
                <w:b/>
              </w:rPr>
            </w:pPr>
            <w:r w:rsidRPr="00B10878">
              <w:rPr>
                <w:b/>
              </w:rPr>
              <w:t>Normatief</w:t>
            </w:r>
          </w:p>
        </w:tc>
      </w:tr>
      <w:tr w:rsidR="00AC2B6D" w:rsidRPr="00B10878" w14:paraId="77231C13" w14:textId="77777777" w:rsidTr="00D20A5C">
        <w:tc>
          <w:tcPr>
            <w:tcW w:w="1951" w:type="dxa"/>
            <w:tcBorders>
              <w:top w:val="single" w:sz="12" w:space="0" w:color="auto"/>
              <w:left w:val="single" w:sz="12" w:space="0" w:color="auto"/>
              <w:bottom w:val="single" w:sz="12" w:space="0" w:color="auto"/>
            </w:tcBorders>
            <w:shd w:val="clear" w:color="auto" w:fill="auto"/>
          </w:tcPr>
          <w:p w14:paraId="26EDBDA5" w14:textId="439195DB" w:rsidR="00535927" w:rsidRPr="00B10878" w:rsidRDefault="00AC2B6D" w:rsidP="009A0711">
            <w:r w:rsidRPr="00B10878">
              <w:t>Handelsbeleid</w:t>
            </w:r>
          </w:p>
        </w:tc>
        <w:tc>
          <w:tcPr>
            <w:tcW w:w="1985" w:type="dxa"/>
            <w:tcBorders>
              <w:top w:val="single" w:sz="12" w:space="0" w:color="auto"/>
              <w:bottom w:val="single" w:sz="12" w:space="0" w:color="auto"/>
            </w:tcBorders>
            <w:shd w:val="clear" w:color="auto" w:fill="auto"/>
          </w:tcPr>
          <w:p w14:paraId="0991312C" w14:textId="77777777" w:rsidR="00AC2B6D" w:rsidRPr="00B10878" w:rsidRDefault="00AC2B6D" w:rsidP="009A0711"/>
        </w:tc>
        <w:tc>
          <w:tcPr>
            <w:tcW w:w="1984" w:type="dxa"/>
            <w:tcBorders>
              <w:top w:val="single" w:sz="12" w:space="0" w:color="auto"/>
              <w:bottom w:val="single" w:sz="12" w:space="0" w:color="auto"/>
            </w:tcBorders>
            <w:shd w:val="clear" w:color="auto" w:fill="auto"/>
          </w:tcPr>
          <w:p w14:paraId="22180A60" w14:textId="77777777" w:rsidR="00AC2B6D" w:rsidRPr="00B10878" w:rsidRDefault="00AC2B6D" w:rsidP="009A0711">
            <w:r w:rsidRPr="00B10878">
              <w:t>3</w:t>
            </w:r>
          </w:p>
        </w:tc>
        <w:tc>
          <w:tcPr>
            <w:tcW w:w="1947" w:type="dxa"/>
            <w:tcBorders>
              <w:top w:val="single" w:sz="12" w:space="0" w:color="auto"/>
              <w:bottom w:val="single" w:sz="12" w:space="0" w:color="auto"/>
              <w:right w:val="single" w:sz="12" w:space="0" w:color="auto"/>
            </w:tcBorders>
            <w:shd w:val="clear" w:color="auto" w:fill="auto"/>
          </w:tcPr>
          <w:p w14:paraId="0F52D0DB" w14:textId="77777777" w:rsidR="00AC2B6D" w:rsidRPr="00B10878" w:rsidRDefault="00AC2B6D" w:rsidP="009A0711">
            <w:r w:rsidRPr="00B10878">
              <w:t>4</w:t>
            </w:r>
          </w:p>
        </w:tc>
      </w:tr>
    </w:tbl>
    <w:p w14:paraId="442A5591" w14:textId="40F85EDD" w:rsidR="00AC2B6D" w:rsidRDefault="00AC2B6D" w:rsidP="002B7582"/>
    <w:p w14:paraId="2124D44B" w14:textId="32AED5B4" w:rsidR="0032788D" w:rsidRPr="0032788D" w:rsidRDefault="0032788D" w:rsidP="0032788D">
      <w:pPr>
        <w:autoSpaceDE w:val="0"/>
        <w:autoSpaceDN w:val="0"/>
        <w:adjustRightInd w:val="0"/>
        <w:spacing w:line="240" w:lineRule="auto"/>
        <w:rPr>
          <w:rFonts w:cs="Verdana"/>
          <w:szCs w:val="18"/>
          <w:lang w:eastAsia="ja-JP"/>
        </w:rPr>
      </w:pPr>
    </w:p>
    <w:sectPr w:rsidR="0032788D" w:rsidRPr="0032788D" w:rsidSect="00EE1B9E">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6A6E2" w14:textId="77777777" w:rsidR="00CB0EFF" w:rsidRDefault="00CB0EFF">
      <w:r>
        <w:separator/>
      </w:r>
    </w:p>
    <w:p w14:paraId="1237A5A8" w14:textId="77777777" w:rsidR="00CB0EFF" w:rsidRDefault="00CB0EFF"/>
    <w:p w14:paraId="1128558B" w14:textId="77777777" w:rsidR="00CB0EFF" w:rsidRDefault="00CB0EFF"/>
  </w:endnote>
  <w:endnote w:type="continuationSeparator" w:id="0">
    <w:p w14:paraId="2AF5EF27" w14:textId="77777777" w:rsidR="00CB0EFF" w:rsidRDefault="00CB0EFF">
      <w:r>
        <w:continuationSeparator/>
      </w:r>
    </w:p>
    <w:p w14:paraId="1A5E7E25" w14:textId="77777777" w:rsidR="00CB0EFF" w:rsidRDefault="00CB0EFF"/>
    <w:p w14:paraId="06F40BFC" w14:textId="77777777" w:rsidR="00CB0EFF" w:rsidRDefault="00CB0EFF"/>
  </w:endnote>
  <w:endnote w:type="continuationNotice" w:id="1">
    <w:p w14:paraId="344D4DBA" w14:textId="77777777" w:rsidR="00CB0EFF" w:rsidRDefault="00CB0E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kzidenz Grotesk BE Light">
    <w:altName w:val="Akzidenz Grotesk BE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AkzidenzGroteskBE-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CB0EFF" w:rsidRPr="00785F18" w14:paraId="29747168" w14:textId="77777777" w:rsidTr="003B518B">
      <w:trPr>
        <w:trHeight w:hRule="exact" w:val="240"/>
      </w:trPr>
      <w:tc>
        <w:tcPr>
          <w:tcW w:w="7752" w:type="dxa"/>
          <w:gridSpan w:val="3"/>
          <w:shd w:val="clear" w:color="auto" w:fill="auto"/>
        </w:tcPr>
        <w:p w14:paraId="1A92FAAD" w14:textId="77777777" w:rsidR="00CB0EFF" w:rsidRPr="00785F18" w:rsidRDefault="00CB0EFF">
          <w:pPr>
            <w:spacing w:line="240" w:lineRule="auto"/>
          </w:pPr>
        </w:p>
      </w:tc>
    </w:tr>
    <w:tr w:rsidR="00CB0EFF" w:rsidRPr="00785F18" w14:paraId="53F554AE" w14:textId="77777777" w:rsidTr="003B518B">
      <w:trPr>
        <w:gridAfter w:val="1"/>
        <w:wAfter w:w="99" w:type="dxa"/>
        <w:trHeight w:hRule="exact" w:val="240"/>
      </w:trPr>
      <w:tc>
        <w:tcPr>
          <w:tcW w:w="6260" w:type="dxa"/>
          <w:shd w:val="clear" w:color="auto" w:fill="auto"/>
        </w:tcPr>
        <w:p w14:paraId="664D018D" w14:textId="77777777" w:rsidR="00CB0EFF" w:rsidRPr="00785F18" w:rsidRDefault="008706CB" w:rsidP="003B518B">
          <w:pPr>
            <w:pStyle w:val="Huisstijl-Paginanummering"/>
            <w:rPr>
              <w:rStyle w:val="Huisstijl-Rubricering"/>
            </w:rPr>
          </w:pPr>
          <w:r>
            <w:fldChar w:fldCharType="begin"/>
          </w:r>
          <w:r>
            <w:instrText xml:space="preserve"> DOCPROPERTY  L_PAGE  \* MERGEFORMAT </w:instrText>
          </w:r>
          <w:r>
            <w:fldChar w:fldCharType="separate"/>
          </w:r>
          <w:r w:rsidR="00CB0EFF">
            <w:t>Pagina</w:t>
          </w:r>
          <w:r>
            <w:fldChar w:fldCharType="end"/>
          </w:r>
          <w:r w:rsidR="00CB0EFF" w:rsidRPr="00785F18">
            <w:t xml:space="preserve"> </w:t>
          </w:r>
          <w:r w:rsidR="00CB0EFF">
            <w:fldChar w:fldCharType="begin"/>
          </w:r>
          <w:r w:rsidR="00CB0EFF">
            <w:instrText xml:space="preserve"> PAGE   \* MERGEFORMAT </w:instrText>
          </w:r>
          <w:r w:rsidR="00CB0EFF">
            <w:fldChar w:fldCharType="separate"/>
          </w:r>
          <w:r w:rsidR="00CB0EFF">
            <w:t>16</w:t>
          </w:r>
          <w:r w:rsidR="00CB0EFF">
            <w:fldChar w:fldCharType="end"/>
          </w:r>
          <w:r w:rsidR="00CB0EFF" w:rsidRPr="00785F18">
            <w:t xml:space="preserve"> </w:t>
          </w:r>
          <w:r>
            <w:fldChar w:fldCharType="begin"/>
          </w:r>
          <w:r>
            <w:instrText xml:space="preserve"> DOCPROPERTY  L_PAGEOF  \* MERGEFORMAT </w:instrText>
          </w:r>
          <w:r>
            <w:fldChar w:fldCharType="separate"/>
          </w:r>
          <w:r w:rsidR="00CB0EFF">
            <w:t>van</w:t>
          </w:r>
          <w:r>
            <w:fldChar w:fldCharType="end"/>
          </w:r>
          <w:r w:rsidR="00CB0EFF" w:rsidRPr="00785F18">
            <w:t xml:space="preserve"> </w:t>
          </w:r>
          <w:r>
            <w:fldChar w:fldCharType="begin"/>
          </w:r>
          <w:r>
            <w:instrText xml:space="preserve"> NUMPAGES   \* MERGEFORMAT </w:instrText>
          </w:r>
          <w:r>
            <w:fldChar w:fldCharType="separate"/>
          </w:r>
          <w:r w:rsidR="00CB0EFF">
            <w:t>23</w:t>
          </w:r>
          <w:r>
            <w:fldChar w:fldCharType="end"/>
          </w:r>
        </w:p>
      </w:tc>
      <w:tc>
        <w:tcPr>
          <w:tcW w:w="1392" w:type="dxa"/>
        </w:tcPr>
        <w:p w14:paraId="5D1EE496" w14:textId="77777777" w:rsidR="00CB0EFF" w:rsidRPr="00785F18" w:rsidRDefault="00CB0EFF" w:rsidP="003B518B">
          <w:pPr>
            <w:pStyle w:val="Huisstijl-Paginanummering"/>
            <w:jc w:val="right"/>
          </w:pPr>
        </w:p>
      </w:tc>
    </w:tr>
  </w:tbl>
  <w:p w14:paraId="3FC4208B" w14:textId="77777777" w:rsidR="00CB0EFF" w:rsidRPr="00785F18" w:rsidRDefault="00CB0EFF"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933509988"/>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35E52169" w14:textId="09B1CCC7" w:rsidR="008706CB" w:rsidRPr="008706CB" w:rsidRDefault="008706CB">
            <w:pPr>
              <w:pStyle w:val="Footer"/>
              <w:jc w:val="right"/>
              <w:rPr>
                <w:sz w:val="16"/>
                <w:szCs w:val="16"/>
              </w:rPr>
            </w:pPr>
            <w:r w:rsidRPr="008706CB">
              <w:rPr>
                <w:sz w:val="16"/>
                <w:szCs w:val="16"/>
              </w:rPr>
              <w:t xml:space="preserve">Pagina </w:t>
            </w:r>
            <w:r w:rsidRPr="008706CB">
              <w:rPr>
                <w:bCs/>
                <w:sz w:val="16"/>
                <w:szCs w:val="16"/>
              </w:rPr>
              <w:fldChar w:fldCharType="begin"/>
            </w:r>
            <w:r w:rsidRPr="008706CB">
              <w:rPr>
                <w:bCs/>
                <w:sz w:val="16"/>
                <w:szCs w:val="16"/>
              </w:rPr>
              <w:instrText>PAGE</w:instrText>
            </w:r>
            <w:r w:rsidRPr="008706CB">
              <w:rPr>
                <w:bCs/>
                <w:sz w:val="16"/>
                <w:szCs w:val="16"/>
              </w:rPr>
              <w:fldChar w:fldCharType="separate"/>
            </w:r>
            <w:r>
              <w:rPr>
                <w:bCs/>
                <w:noProof/>
                <w:sz w:val="16"/>
                <w:szCs w:val="16"/>
              </w:rPr>
              <w:t>3</w:t>
            </w:r>
            <w:r w:rsidRPr="008706CB">
              <w:rPr>
                <w:bCs/>
                <w:sz w:val="16"/>
                <w:szCs w:val="16"/>
              </w:rPr>
              <w:fldChar w:fldCharType="end"/>
            </w:r>
            <w:r w:rsidRPr="008706CB">
              <w:rPr>
                <w:sz w:val="16"/>
                <w:szCs w:val="16"/>
              </w:rPr>
              <w:t xml:space="preserve"> van </w:t>
            </w:r>
            <w:r w:rsidRPr="008706CB">
              <w:rPr>
                <w:bCs/>
                <w:sz w:val="16"/>
                <w:szCs w:val="16"/>
              </w:rPr>
              <w:fldChar w:fldCharType="begin"/>
            </w:r>
            <w:r w:rsidRPr="008706CB">
              <w:rPr>
                <w:bCs/>
                <w:sz w:val="16"/>
                <w:szCs w:val="16"/>
              </w:rPr>
              <w:instrText>NUMPAGES</w:instrText>
            </w:r>
            <w:r w:rsidRPr="008706CB">
              <w:rPr>
                <w:bCs/>
                <w:sz w:val="16"/>
                <w:szCs w:val="16"/>
              </w:rPr>
              <w:fldChar w:fldCharType="separate"/>
            </w:r>
            <w:r>
              <w:rPr>
                <w:bCs/>
                <w:noProof/>
                <w:sz w:val="16"/>
                <w:szCs w:val="16"/>
              </w:rPr>
              <w:t>19</w:t>
            </w:r>
            <w:r w:rsidRPr="008706CB">
              <w:rPr>
                <w:bCs/>
                <w:sz w:val="16"/>
                <w:szCs w:val="16"/>
              </w:rPr>
              <w:fldChar w:fldCharType="end"/>
            </w:r>
          </w:p>
        </w:sdtContent>
      </w:sdt>
    </w:sdtContent>
  </w:sdt>
  <w:p w14:paraId="2E2B610A" w14:textId="77777777" w:rsidR="00CB0EFF" w:rsidRPr="00785F18" w:rsidRDefault="00CB0EFF"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8706CB" w:rsidRPr="00785F18" w14:paraId="2DA0C4DA" w14:textId="77777777" w:rsidTr="00B06D4B">
      <w:trPr>
        <w:trHeight w:hRule="exact" w:val="240"/>
      </w:trPr>
      <w:tc>
        <w:tcPr>
          <w:tcW w:w="6260" w:type="dxa"/>
          <w:shd w:val="clear" w:color="auto" w:fill="auto"/>
        </w:tcPr>
        <w:p w14:paraId="30F624FB" w14:textId="77777777" w:rsidR="008706CB" w:rsidRPr="00785F18" w:rsidRDefault="008706CB" w:rsidP="00B06D4B">
          <w:pPr>
            <w:rPr>
              <w:rStyle w:val="Huisstijl-Rubricering"/>
            </w:rPr>
          </w:pPr>
        </w:p>
      </w:tc>
    </w:tr>
  </w:tbl>
  <w:p w14:paraId="4C03EC54" w14:textId="77777777" w:rsidR="00CB0EFF" w:rsidRPr="00785F18" w:rsidRDefault="00CB0EFF" w:rsidP="00101F98">
    <w:pPr>
      <w:spacing w:line="240" w:lineRule="auto"/>
      <w:rPr>
        <w:sz w:val="2"/>
        <w:szCs w:val="2"/>
      </w:rPr>
    </w:pPr>
  </w:p>
  <w:p w14:paraId="7545B1CA" w14:textId="77777777" w:rsidR="00CB0EFF" w:rsidRPr="00785F18" w:rsidRDefault="00CB0EFF"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C50BF" w14:textId="77777777" w:rsidR="00CB0EFF" w:rsidRPr="00B35331" w:rsidRDefault="00CB0EFF" w:rsidP="00B35331">
      <w:pPr>
        <w:pStyle w:val="Footer"/>
      </w:pPr>
    </w:p>
  </w:footnote>
  <w:footnote w:type="continuationSeparator" w:id="0">
    <w:p w14:paraId="3F54FA4D" w14:textId="77777777" w:rsidR="00CB0EFF" w:rsidRDefault="00CB0EFF">
      <w:r>
        <w:continuationSeparator/>
      </w:r>
    </w:p>
    <w:p w14:paraId="39A56D99" w14:textId="77777777" w:rsidR="00CB0EFF" w:rsidRDefault="00CB0EFF"/>
    <w:p w14:paraId="2FE5C7F8" w14:textId="77777777" w:rsidR="00CB0EFF" w:rsidRDefault="00CB0EFF"/>
  </w:footnote>
  <w:footnote w:type="continuationNotice" w:id="1">
    <w:p w14:paraId="1CE02902" w14:textId="77777777" w:rsidR="00CB0EFF" w:rsidRDefault="00CB0EFF">
      <w:pPr>
        <w:spacing w:line="240" w:lineRule="auto"/>
      </w:pPr>
    </w:p>
  </w:footnote>
  <w:footnote w:id="2">
    <w:p w14:paraId="78633958" w14:textId="787B355C" w:rsidR="00CB0EFF" w:rsidRPr="00E768B9" w:rsidRDefault="00CB0EFF" w:rsidP="00E768B9">
      <w:pPr>
        <w:pStyle w:val="FootnoteText"/>
        <w:spacing w:line="240" w:lineRule="auto"/>
        <w:rPr>
          <w:szCs w:val="13"/>
        </w:rPr>
      </w:pPr>
      <w:r w:rsidRPr="00E768B9">
        <w:rPr>
          <w:rStyle w:val="FootnoteReference"/>
          <w:szCs w:val="13"/>
        </w:rPr>
        <w:footnoteRef/>
      </w:r>
      <w:r>
        <w:rPr>
          <w:szCs w:val="13"/>
        </w:rPr>
        <w:t xml:space="preserve"> </w:t>
      </w:r>
      <w:r w:rsidRPr="00E768B9">
        <w:rPr>
          <w:szCs w:val="13"/>
        </w:rPr>
        <w:t>Binnen MOPAN evalueert Nederland samen met 18 gelijkgezinde landen het func</w:t>
      </w:r>
      <w:r>
        <w:rPr>
          <w:szCs w:val="13"/>
        </w:rPr>
        <w:t xml:space="preserve">tioneren van VN-organisaties en </w:t>
      </w:r>
      <w:r w:rsidRPr="00E768B9">
        <w:rPr>
          <w:szCs w:val="13"/>
        </w:rPr>
        <w:t xml:space="preserve">Internationale Financiële Instellingen. Vanaf 2015 worden, per keer, in een tweejaarlijkse cyclus, ongeveer 13 organisaties doorgelicht op organisatorisch functioneren en ontwikkelingseffectiviteit.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B6ACE" w14:textId="77777777" w:rsidR="00CB0EFF" w:rsidRPr="00785F18" w:rsidRDefault="00CB0EFF">
    <w:pPr>
      <w:pStyle w:val="Header"/>
    </w:pPr>
  </w:p>
  <w:p w14:paraId="7D54BD98" w14:textId="77777777" w:rsidR="00CB0EFF" w:rsidRPr="00785F18" w:rsidRDefault="00CB0EFF"/>
  <w:p w14:paraId="1FBFD377" w14:textId="77777777" w:rsidR="00CB0EFF" w:rsidRPr="00785F18" w:rsidRDefault="00CB0EF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AE9AB" w14:textId="77777777" w:rsidR="00CB0EFF" w:rsidRPr="00785F18" w:rsidRDefault="00CB0EFF"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CB0EFF" w:rsidRPr="008517DE" w14:paraId="78D0CD81" w14:textId="77777777" w:rsidTr="002E14E1">
      <w:trPr>
        <w:trHeight w:val="400"/>
      </w:trPr>
      <w:tc>
        <w:tcPr>
          <w:tcW w:w="7520" w:type="dxa"/>
          <w:shd w:val="clear" w:color="auto" w:fill="auto"/>
        </w:tcPr>
        <w:p w14:paraId="729D5E25" w14:textId="1CBCDD8B" w:rsidR="00CB0EFF" w:rsidRPr="008517DE" w:rsidRDefault="00CB0EFF" w:rsidP="00244370">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rPr>
            <w:t>World Trade Organization</w:t>
          </w:r>
        </w:p>
      </w:tc>
    </w:tr>
  </w:tbl>
  <w:p w14:paraId="198C523F" w14:textId="77777777" w:rsidR="00CB0EFF" w:rsidRPr="008517DE" w:rsidRDefault="00CB0EFF"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2E324" w14:textId="3A035C97" w:rsidR="00CB0EFF" w:rsidRPr="00785F18" w:rsidRDefault="00CB0EFF" w:rsidP="006E263E">
    <w:r>
      <w:rPr>
        <w:noProof/>
      </w:rPr>
      <mc:AlternateContent>
        <mc:Choice Requires="wps">
          <w:drawing>
            <wp:anchor distT="0" distB="0" distL="114300" distR="114300" simplePos="0" relativeHeight="251658240" behindDoc="0" locked="0" layoutInCell="1" allowOverlap="1" wp14:anchorId="327E011F" wp14:editId="3AA3D3DB">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CB0EFF" w14:paraId="22033C84" w14:textId="77777777">
                            <w:trPr>
                              <w:trHeight w:val="2636"/>
                            </w:trPr>
                            <w:tc>
                              <w:tcPr>
                                <w:tcW w:w="737" w:type="dxa"/>
                                <w:shd w:val="clear" w:color="auto" w:fill="auto"/>
                              </w:tcPr>
                              <w:p w14:paraId="51766362" w14:textId="77777777" w:rsidR="00CB0EFF" w:rsidRDefault="00CB0EFF" w:rsidP="006E263E">
                                <w:pPr>
                                  <w:spacing w:line="240" w:lineRule="auto"/>
                                </w:pPr>
                                <w:bookmarkStart w:id="4" w:name="bm_BZlogo"/>
                                <w:bookmarkEnd w:id="4"/>
                                <w:r>
                                  <w:rPr>
                                    <w:noProof/>
                                  </w:rPr>
                                  <w:drawing>
                                    <wp:inline distT="0" distB="0" distL="0" distR="0" wp14:anchorId="1E329551" wp14:editId="07777777">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6920D4ED" w14:textId="77777777" w:rsidR="00CB0EFF" w:rsidRDefault="00CB0EFF" w:rsidP="006E263E">
                                <w:pPr>
                                  <w:spacing w:line="240" w:lineRule="auto"/>
                                </w:pPr>
                                <w:r>
                                  <w:rPr>
                                    <w:noProof/>
                                  </w:rPr>
                                  <w:drawing>
                                    <wp:inline distT="0" distB="0" distL="0" distR="0" wp14:anchorId="58102A00" wp14:editId="07777777">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28F5F6E3" w14:textId="77777777" w:rsidR="00CB0EFF" w:rsidRDefault="00CB0EFF"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E011F"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CB0EFF" w14:paraId="22033C84" w14:textId="77777777">
                      <w:trPr>
                        <w:trHeight w:val="2636"/>
                      </w:trPr>
                      <w:tc>
                        <w:tcPr>
                          <w:tcW w:w="737" w:type="dxa"/>
                          <w:shd w:val="clear" w:color="auto" w:fill="auto"/>
                        </w:tcPr>
                        <w:p w14:paraId="51766362" w14:textId="77777777" w:rsidR="00CB0EFF" w:rsidRDefault="00CB0EFF" w:rsidP="006E263E">
                          <w:pPr>
                            <w:spacing w:line="240" w:lineRule="auto"/>
                          </w:pPr>
                          <w:bookmarkStart w:id="5" w:name="bm_BZlogo"/>
                          <w:bookmarkEnd w:id="5"/>
                          <w:r>
                            <w:rPr>
                              <w:noProof/>
                            </w:rPr>
                            <w:drawing>
                              <wp:inline distT="0" distB="0" distL="0" distR="0" wp14:anchorId="1E329551" wp14:editId="07777777">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6920D4ED" w14:textId="77777777" w:rsidR="00CB0EFF" w:rsidRDefault="00CB0EFF" w:rsidP="006E263E">
                          <w:pPr>
                            <w:spacing w:line="240" w:lineRule="auto"/>
                          </w:pPr>
                          <w:r>
                            <w:rPr>
                              <w:noProof/>
                            </w:rPr>
                            <w:drawing>
                              <wp:inline distT="0" distB="0" distL="0" distR="0" wp14:anchorId="58102A00" wp14:editId="07777777">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28F5F6E3" w14:textId="77777777" w:rsidR="00CB0EFF" w:rsidRDefault="00CB0EFF"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CB0EFF" w:rsidRPr="00785F18" w14:paraId="2D7F2301" w14:textId="77777777" w:rsidTr="000A01F6">
      <w:trPr>
        <w:cantSplit/>
        <w:trHeight w:hRule="exact" w:val="3340"/>
      </w:trPr>
      <w:tc>
        <w:tcPr>
          <w:tcW w:w="5640" w:type="dxa"/>
          <w:shd w:val="clear" w:color="auto" w:fill="auto"/>
        </w:tcPr>
        <w:p w14:paraId="18670B77" w14:textId="77777777" w:rsidR="00CB0EFF" w:rsidRPr="00785F18" w:rsidRDefault="00CB0EFF" w:rsidP="00094B45">
          <w:pPr>
            <w:ind w:left="240" w:hanging="240"/>
          </w:pPr>
        </w:p>
      </w:tc>
    </w:tr>
    <w:tr w:rsidR="00CB0EFF" w:rsidRPr="00B36546" w14:paraId="3BF3CBF2" w14:textId="77777777" w:rsidTr="007B0280">
      <w:trPr>
        <w:cantSplit/>
        <w:trHeight w:hRule="exact" w:val="1440"/>
      </w:trPr>
      <w:tc>
        <w:tcPr>
          <w:tcW w:w="5640" w:type="dxa"/>
          <w:shd w:val="clear" w:color="auto" w:fill="auto"/>
        </w:tcPr>
        <w:p w14:paraId="516B162A" w14:textId="77777777" w:rsidR="00CB0EFF" w:rsidRPr="00785F18" w:rsidRDefault="00CB0EFF" w:rsidP="000C0FB6">
          <w:pPr>
            <w:rPr>
              <w:rStyle w:val="Huisstijl-Rubricering"/>
              <w:smallCaps w:val="0"/>
            </w:rPr>
          </w:pPr>
        </w:p>
        <w:p w14:paraId="7B4695C3" w14:textId="77777777" w:rsidR="00CB0EFF" w:rsidRPr="00785F18" w:rsidRDefault="00CB0EFF" w:rsidP="000C0FB6">
          <w:pPr>
            <w:spacing w:line="180" w:lineRule="atLeast"/>
            <w:rPr>
              <w:rStyle w:val="Huisstijl-Rubricering"/>
              <w:smallCaps w:val="0"/>
            </w:rPr>
          </w:pPr>
        </w:p>
        <w:p w14:paraId="33CFE40F" w14:textId="5512F8D7" w:rsidR="00CB0EFF" w:rsidRDefault="00CB0EFF" w:rsidP="00B36546">
          <w:pPr>
            <w:pStyle w:val="Title"/>
          </w:pPr>
          <w:bookmarkStart w:id="6" w:name="titel"/>
          <w:r w:rsidRPr="00B36546">
            <w:t>Scorecard</w:t>
          </w:r>
          <w:bookmarkEnd w:id="6"/>
          <w:r w:rsidRPr="00B36546">
            <w:t xml:space="preserve">  </w:t>
          </w:r>
          <w:bookmarkStart w:id="7" w:name="subtitel"/>
          <w:r>
            <w:t xml:space="preserve"> </w:t>
          </w:r>
          <w:bookmarkEnd w:id="7"/>
          <w:r>
            <w:rPr>
              <w:rStyle w:val="SubtitleChar"/>
            </w:rPr>
            <w:t>World Trade Organization</w:t>
          </w:r>
        </w:p>
        <w:p w14:paraId="25FB8E64" w14:textId="77777777" w:rsidR="00CB0EFF" w:rsidRPr="00B36546" w:rsidRDefault="00CB0EFF" w:rsidP="00B36546">
          <w:pPr>
            <w:rPr>
              <w:lang w:val="en-GB"/>
            </w:rPr>
          </w:pPr>
        </w:p>
        <w:p w14:paraId="3DC17E6D" w14:textId="77777777" w:rsidR="00CB0EFF" w:rsidRPr="00B36546" w:rsidRDefault="00CB0EFF" w:rsidP="00B36546">
          <w:pPr>
            <w:tabs>
              <w:tab w:val="left" w:pos="3281"/>
            </w:tabs>
            <w:rPr>
              <w:lang w:val="en-GB"/>
            </w:rPr>
          </w:pPr>
          <w:r w:rsidRPr="00B36546">
            <w:rPr>
              <w:lang w:val="en-GB"/>
            </w:rPr>
            <w:tab/>
          </w:r>
        </w:p>
      </w:tc>
    </w:tr>
    <w:tr w:rsidR="00CB0EFF" w:rsidRPr="00B36546" w14:paraId="277ED82A" w14:textId="77777777" w:rsidTr="000A01F6">
      <w:trPr>
        <w:cantSplit/>
        <w:trHeight w:hRule="exact" w:val="240"/>
      </w:trPr>
      <w:tc>
        <w:tcPr>
          <w:tcW w:w="5640" w:type="dxa"/>
          <w:shd w:val="clear" w:color="auto" w:fill="auto"/>
        </w:tcPr>
        <w:p w14:paraId="36C89247" w14:textId="77777777" w:rsidR="00CB0EFF" w:rsidRPr="00B36546" w:rsidRDefault="00CB0EFF" w:rsidP="00B60860">
          <w:pPr>
            <w:rPr>
              <w:lang w:val="en-GB"/>
            </w:rPr>
          </w:pPr>
        </w:p>
      </w:tc>
    </w:tr>
    <w:tr w:rsidR="00CB0EFF" w:rsidRPr="00B36546" w14:paraId="120B7DE3" w14:textId="77777777" w:rsidTr="000A01F6">
      <w:trPr>
        <w:cantSplit/>
        <w:trHeight w:hRule="exact" w:val="480"/>
      </w:trPr>
      <w:tc>
        <w:tcPr>
          <w:tcW w:w="5640" w:type="dxa"/>
          <w:shd w:val="clear" w:color="auto" w:fill="auto"/>
        </w:tcPr>
        <w:p w14:paraId="589D752B" w14:textId="77777777" w:rsidR="00CB0EFF" w:rsidRPr="00B36546" w:rsidRDefault="00CB0EFF" w:rsidP="00EF0ED5">
          <w:pPr>
            <w:rPr>
              <w:lang w:val="en-GB"/>
            </w:rPr>
          </w:pPr>
        </w:p>
      </w:tc>
    </w:tr>
  </w:tbl>
  <w:p w14:paraId="44FBC916" w14:textId="5BDE1302" w:rsidR="00CB0EFF" w:rsidRPr="00B36546" w:rsidRDefault="00CB0EFF">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258B1942" w14:textId="77777777" w:rsidR="00CB0EFF" w:rsidRPr="00B36546" w:rsidRDefault="00CB0EFF">
    <w:pPr>
      <w:rPr>
        <w:lang w:val="en-GB"/>
      </w:rPr>
    </w:pPr>
  </w:p>
  <w:p w14:paraId="71416289" w14:textId="77777777" w:rsidR="00CB0EFF" w:rsidRPr="00785F18" w:rsidRDefault="00CB0EFF"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D06FC" w14:textId="77777777" w:rsidR="00CB0EFF" w:rsidRPr="00785F18" w:rsidRDefault="00CB0EFF"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CB0EFF" w:rsidRPr="008517DE" w14:paraId="3C255FC5" w14:textId="77777777" w:rsidTr="00B06D4B">
      <w:trPr>
        <w:trHeight w:val="400"/>
      </w:trPr>
      <w:tc>
        <w:tcPr>
          <w:tcW w:w="7520" w:type="dxa"/>
          <w:shd w:val="clear" w:color="auto" w:fill="auto"/>
        </w:tcPr>
        <w:p w14:paraId="51777CEA" w14:textId="77777777" w:rsidR="00CB0EFF" w:rsidRPr="008517DE" w:rsidRDefault="008706CB" w:rsidP="00B06D4B">
          <w:pPr>
            <w:adjustRightInd w:val="0"/>
            <w:spacing w:line="180" w:lineRule="exact"/>
            <w:rPr>
              <w:sz w:val="13"/>
              <w:lang w:val="en-GB"/>
            </w:rPr>
          </w:pPr>
          <w:r>
            <w:fldChar w:fldCharType="begin"/>
          </w:r>
          <w:r>
            <w:instrText xml:space="preserve"> REF  titel  \* MERGEFORMAT </w:instrText>
          </w:r>
          <w:r>
            <w:fldChar w:fldCharType="separate"/>
          </w:r>
          <w:r w:rsidR="00CB0EFF" w:rsidRPr="00566F34">
            <w:rPr>
              <w:rStyle w:val="Huisstijl-Koptekst"/>
              <w:sz w:val="18"/>
              <w:szCs w:val="18"/>
              <w:lang w:val="en-GB"/>
            </w:rPr>
            <w:t>Scorecard</w:t>
          </w:r>
          <w:r>
            <w:rPr>
              <w:rStyle w:val="Huisstijl-Koptekst"/>
              <w:sz w:val="18"/>
              <w:szCs w:val="18"/>
              <w:lang w:val="en-GB"/>
            </w:rPr>
            <w:fldChar w:fldCharType="end"/>
          </w:r>
          <w:r w:rsidR="00CB0EFF" w:rsidRPr="007B163C">
            <w:rPr>
              <w:rStyle w:val="Huisstijl-Koptekst"/>
              <w:lang w:val="en-GB"/>
            </w:rPr>
            <w:t xml:space="preserve"> | </w:t>
          </w:r>
          <w:r w:rsidR="00CB0EFF">
            <w:rPr>
              <w:rStyle w:val="Huisstijl-Koptekst"/>
              <w:lang w:val="en-GB"/>
            </w:rPr>
            <w:t>Organisatie</w:t>
          </w:r>
          <w:r w:rsidR="00CB0EFF" w:rsidRPr="008517DE">
            <w:rPr>
              <w:sz w:val="13"/>
              <w:lang w:val="en-GB"/>
            </w:rPr>
            <w:t xml:space="preserve"> </w:t>
          </w:r>
        </w:p>
      </w:tc>
    </w:tr>
  </w:tbl>
  <w:p w14:paraId="4B4D8147" w14:textId="77777777" w:rsidR="00CB0EFF" w:rsidRPr="008517DE" w:rsidRDefault="00CB0EFF"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2"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F41954"/>
    <w:multiLevelType w:val="hybridMultilevel"/>
    <w:tmpl w:val="701ECB0C"/>
    <w:lvl w:ilvl="0" w:tplc="DBFE5D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912E95"/>
    <w:multiLevelType w:val="hybridMultilevel"/>
    <w:tmpl w:val="3C4EC7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B1C4545"/>
    <w:multiLevelType w:val="multilevel"/>
    <w:tmpl w:val="075230B2"/>
    <w:lvl w:ilvl="0">
      <w:start w:val="1"/>
      <w:numFmt w:val="decimal"/>
      <w:lvlText w:val="%1."/>
      <w:lvlJc w:val="left"/>
      <w:pPr>
        <w:ind w:left="720" w:hanging="360"/>
      </w:pPr>
      <w:rPr>
        <w:rFonts w:hint="default"/>
      </w:rPr>
    </w:lvl>
    <w:lvl w:ilvl="1">
      <w:start w:val="6"/>
      <w:numFmt w:val="decimal"/>
      <w:isLgl/>
      <w:lvlText w:val="%1.%2"/>
      <w:lvlJc w:val="left"/>
      <w:pPr>
        <w:ind w:left="1520" w:hanging="1160"/>
      </w:pPr>
      <w:rPr>
        <w:rFonts w:hint="default"/>
      </w:rPr>
    </w:lvl>
    <w:lvl w:ilvl="2">
      <w:start w:val="1"/>
      <w:numFmt w:val="lowerLetter"/>
      <w:isLgl/>
      <w:lvlText w:val="%1.%2.%3"/>
      <w:lvlJc w:val="left"/>
      <w:pPr>
        <w:ind w:left="1520" w:hanging="1160"/>
      </w:pPr>
      <w:rPr>
        <w:rFonts w:hint="default"/>
      </w:rPr>
    </w:lvl>
    <w:lvl w:ilvl="3">
      <w:start w:val="1"/>
      <w:numFmt w:val="decimal"/>
      <w:isLgl/>
      <w:lvlText w:val="%1.%2.%3.%4"/>
      <w:lvlJc w:val="left"/>
      <w:pPr>
        <w:ind w:left="1520" w:hanging="1160"/>
      </w:pPr>
      <w:rPr>
        <w:rFonts w:hint="default"/>
      </w:rPr>
    </w:lvl>
    <w:lvl w:ilvl="4">
      <w:start w:val="1"/>
      <w:numFmt w:val="decimal"/>
      <w:isLgl/>
      <w:lvlText w:val="%1.%2.%3.%4.%5"/>
      <w:lvlJc w:val="left"/>
      <w:pPr>
        <w:ind w:left="1520" w:hanging="116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E6E09C9"/>
    <w:multiLevelType w:val="hybridMultilevel"/>
    <w:tmpl w:val="60C022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EB20B4"/>
    <w:multiLevelType w:val="hybridMultilevel"/>
    <w:tmpl w:val="9F54F96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75D626A"/>
    <w:multiLevelType w:val="hybridMultilevel"/>
    <w:tmpl w:val="953A7E1A"/>
    <w:lvl w:ilvl="0" w:tplc="EE7000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AEB2CDA"/>
    <w:multiLevelType w:val="hybridMultilevel"/>
    <w:tmpl w:val="3C4EC7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0BB339D"/>
    <w:multiLevelType w:val="hybridMultilevel"/>
    <w:tmpl w:val="3C4EC7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3" w15:restartNumberingAfterBreak="0">
    <w:nsid w:val="39EE25BB"/>
    <w:multiLevelType w:val="hybridMultilevel"/>
    <w:tmpl w:val="82161D1C"/>
    <w:lvl w:ilvl="0" w:tplc="EE7000A0">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A9102CB"/>
    <w:multiLevelType w:val="hybridMultilevel"/>
    <w:tmpl w:val="4EF0D90A"/>
    <w:lvl w:ilvl="0" w:tplc="F18E78A8">
      <w:start w:val="1"/>
      <w:numFmt w:val="decimal"/>
      <w:lvlText w:val="%1"/>
      <w:lvlJc w:val="left"/>
      <w:pPr>
        <w:ind w:left="-802" w:hanging="360"/>
      </w:pPr>
      <w:rPr>
        <w:rFonts w:hint="default"/>
      </w:rPr>
    </w:lvl>
    <w:lvl w:ilvl="1" w:tplc="04130019" w:tentative="1">
      <w:start w:val="1"/>
      <w:numFmt w:val="lowerLetter"/>
      <w:lvlText w:val="%2."/>
      <w:lvlJc w:val="left"/>
      <w:pPr>
        <w:ind w:left="-82" w:hanging="360"/>
      </w:pPr>
    </w:lvl>
    <w:lvl w:ilvl="2" w:tplc="0413001B" w:tentative="1">
      <w:start w:val="1"/>
      <w:numFmt w:val="lowerRoman"/>
      <w:lvlText w:val="%3."/>
      <w:lvlJc w:val="right"/>
      <w:pPr>
        <w:ind w:left="638" w:hanging="180"/>
      </w:pPr>
    </w:lvl>
    <w:lvl w:ilvl="3" w:tplc="0413000F" w:tentative="1">
      <w:start w:val="1"/>
      <w:numFmt w:val="decimal"/>
      <w:lvlText w:val="%4."/>
      <w:lvlJc w:val="left"/>
      <w:pPr>
        <w:ind w:left="1358" w:hanging="360"/>
      </w:pPr>
    </w:lvl>
    <w:lvl w:ilvl="4" w:tplc="04130019" w:tentative="1">
      <w:start w:val="1"/>
      <w:numFmt w:val="lowerLetter"/>
      <w:lvlText w:val="%5."/>
      <w:lvlJc w:val="left"/>
      <w:pPr>
        <w:ind w:left="2078" w:hanging="360"/>
      </w:pPr>
    </w:lvl>
    <w:lvl w:ilvl="5" w:tplc="0413001B" w:tentative="1">
      <w:start w:val="1"/>
      <w:numFmt w:val="lowerRoman"/>
      <w:lvlText w:val="%6."/>
      <w:lvlJc w:val="right"/>
      <w:pPr>
        <w:ind w:left="2798" w:hanging="180"/>
      </w:pPr>
    </w:lvl>
    <w:lvl w:ilvl="6" w:tplc="0413000F" w:tentative="1">
      <w:start w:val="1"/>
      <w:numFmt w:val="decimal"/>
      <w:lvlText w:val="%7."/>
      <w:lvlJc w:val="left"/>
      <w:pPr>
        <w:ind w:left="3518" w:hanging="360"/>
      </w:pPr>
    </w:lvl>
    <w:lvl w:ilvl="7" w:tplc="04130019" w:tentative="1">
      <w:start w:val="1"/>
      <w:numFmt w:val="lowerLetter"/>
      <w:lvlText w:val="%8."/>
      <w:lvlJc w:val="left"/>
      <w:pPr>
        <w:ind w:left="4238" w:hanging="360"/>
      </w:pPr>
    </w:lvl>
    <w:lvl w:ilvl="8" w:tplc="0413001B" w:tentative="1">
      <w:start w:val="1"/>
      <w:numFmt w:val="lowerRoman"/>
      <w:lvlText w:val="%9."/>
      <w:lvlJc w:val="right"/>
      <w:pPr>
        <w:ind w:left="4958" w:hanging="180"/>
      </w:pPr>
    </w:lvl>
  </w:abstractNum>
  <w:abstractNum w:abstractNumId="15"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6" w15:restartNumberingAfterBreak="0">
    <w:nsid w:val="3C793004"/>
    <w:multiLevelType w:val="hybridMultilevel"/>
    <w:tmpl w:val="8F10CCAE"/>
    <w:lvl w:ilvl="0" w:tplc="EE7000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E0F0958"/>
    <w:multiLevelType w:val="hybridMultilevel"/>
    <w:tmpl w:val="953A7E1A"/>
    <w:lvl w:ilvl="0" w:tplc="EE7000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9BC5850"/>
    <w:multiLevelType w:val="hybridMultilevel"/>
    <w:tmpl w:val="953A7E1A"/>
    <w:lvl w:ilvl="0" w:tplc="EE7000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E6759C9"/>
    <w:multiLevelType w:val="multilevel"/>
    <w:tmpl w:val="25662532"/>
    <w:lvl w:ilvl="0">
      <w:start w:val="5"/>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lowerLetter"/>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1"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22" w15:restartNumberingAfterBreak="0">
    <w:nsid w:val="627F77EC"/>
    <w:multiLevelType w:val="hybridMultilevel"/>
    <w:tmpl w:val="B5C0FC60"/>
    <w:lvl w:ilvl="0" w:tplc="0413000F">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4"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25"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6"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num w:numId="1">
    <w:abstractNumId w:val="21"/>
  </w:num>
  <w:num w:numId="2">
    <w:abstractNumId w:val="24"/>
  </w:num>
  <w:num w:numId="3">
    <w:abstractNumId w:val="15"/>
  </w:num>
  <w:num w:numId="4">
    <w:abstractNumId w:val="0"/>
  </w:num>
  <w:num w:numId="5">
    <w:abstractNumId w:val="25"/>
  </w:num>
  <w:num w:numId="6">
    <w:abstractNumId w:val="1"/>
  </w:num>
  <w:num w:numId="7">
    <w:abstractNumId w:val="23"/>
  </w:num>
  <w:num w:numId="8">
    <w:abstractNumId w:val="12"/>
  </w:num>
  <w:num w:numId="9">
    <w:abstractNumId w:val="26"/>
  </w:num>
  <w:num w:numId="10">
    <w:abstractNumId w:val="2"/>
  </w:num>
  <w:num w:numId="11">
    <w:abstractNumId w:val="3"/>
  </w:num>
  <w:num w:numId="12">
    <w:abstractNumId w:val="18"/>
  </w:num>
  <w:num w:numId="13">
    <w:abstractNumId w:val="8"/>
  </w:num>
  <w:num w:numId="14">
    <w:abstractNumId w:val="5"/>
  </w:num>
  <w:num w:numId="15">
    <w:abstractNumId w:val="11"/>
  </w:num>
  <w:num w:numId="16">
    <w:abstractNumId w:val="10"/>
  </w:num>
  <w:num w:numId="17">
    <w:abstractNumId w:val="22"/>
  </w:num>
  <w:num w:numId="18">
    <w:abstractNumId w:val="13"/>
  </w:num>
  <w:num w:numId="19">
    <w:abstractNumId w:val="19"/>
  </w:num>
  <w:num w:numId="20">
    <w:abstractNumId w:val="9"/>
  </w:num>
  <w:num w:numId="21">
    <w:abstractNumId w:val="17"/>
  </w:num>
  <w:num w:numId="22">
    <w:abstractNumId w:val="16"/>
  </w:num>
  <w:num w:numId="23">
    <w:abstractNumId w:val="6"/>
  </w:num>
  <w:num w:numId="24">
    <w:abstractNumId w:val="20"/>
  </w:num>
  <w:num w:numId="25">
    <w:abstractNumId w:val="14"/>
  </w:num>
  <w:num w:numId="26">
    <w:abstractNumId w:val="7"/>
  </w:num>
  <w:num w:numId="27">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6041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884"/>
    <w:rsid w:val="00006E47"/>
    <w:rsid w:val="0001095C"/>
    <w:rsid w:val="000114F8"/>
    <w:rsid w:val="00013196"/>
    <w:rsid w:val="0001520B"/>
    <w:rsid w:val="00016C57"/>
    <w:rsid w:val="00016E4F"/>
    <w:rsid w:val="00020189"/>
    <w:rsid w:val="00020EE4"/>
    <w:rsid w:val="000227EB"/>
    <w:rsid w:val="000234D6"/>
    <w:rsid w:val="0002628D"/>
    <w:rsid w:val="00026447"/>
    <w:rsid w:val="0002695C"/>
    <w:rsid w:val="00026C08"/>
    <w:rsid w:val="000304C1"/>
    <w:rsid w:val="00031268"/>
    <w:rsid w:val="00032C0E"/>
    <w:rsid w:val="00033419"/>
    <w:rsid w:val="00033426"/>
    <w:rsid w:val="00033950"/>
    <w:rsid w:val="00033E8D"/>
    <w:rsid w:val="00034A84"/>
    <w:rsid w:val="00035E67"/>
    <w:rsid w:val="0004192F"/>
    <w:rsid w:val="000422E7"/>
    <w:rsid w:val="00044809"/>
    <w:rsid w:val="00045A4F"/>
    <w:rsid w:val="00046866"/>
    <w:rsid w:val="00047318"/>
    <w:rsid w:val="0005061F"/>
    <w:rsid w:val="00050ABD"/>
    <w:rsid w:val="00050B6A"/>
    <w:rsid w:val="00051416"/>
    <w:rsid w:val="000559DE"/>
    <w:rsid w:val="00057B03"/>
    <w:rsid w:val="000601AC"/>
    <w:rsid w:val="0006021A"/>
    <w:rsid w:val="0006027D"/>
    <w:rsid w:val="000605A3"/>
    <w:rsid w:val="00062137"/>
    <w:rsid w:val="00066F2B"/>
    <w:rsid w:val="0006700B"/>
    <w:rsid w:val="000705D1"/>
    <w:rsid w:val="00071F28"/>
    <w:rsid w:val="00072371"/>
    <w:rsid w:val="00076FCC"/>
    <w:rsid w:val="00077900"/>
    <w:rsid w:val="00080AE8"/>
    <w:rsid w:val="00081825"/>
    <w:rsid w:val="00081DD4"/>
    <w:rsid w:val="0008255C"/>
    <w:rsid w:val="00082BB1"/>
    <w:rsid w:val="00083AB0"/>
    <w:rsid w:val="000842B5"/>
    <w:rsid w:val="000842F4"/>
    <w:rsid w:val="00085F22"/>
    <w:rsid w:val="0008640E"/>
    <w:rsid w:val="0008784B"/>
    <w:rsid w:val="00087FA0"/>
    <w:rsid w:val="000903DE"/>
    <w:rsid w:val="00090808"/>
    <w:rsid w:val="0009114D"/>
    <w:rsid w:val="000912C6"/>
    <w:rsid w:val="000924C1"/>
    <w:rsid w:val="00093522"/>
    <w:rsid w:val="00094518"/>
    <w:rsid w:val="00094A14"/>
    <w:rsid w:val="00094B45"/>
    <w:rsid w:val="00096680"/>
    <w:rsid w:val="00097B3F"/>
    <w:rsid w:val="000A01F6"/>
    <w:rsid w:val="000A0BB1"/>
    <w:rsid w:val="000A22CF"/>
    <w:rsid w:val="000A27FF"/>
    <w:rsid w:val="000A2DF7"/>
    <w:rsid w:val="000A33E6"/>
    <w:rsid w:val="000A381C"/>
    <w:rsid w:val="000A3AF6"/>
    <w:rsid w:val="000B0CE0"/>
    <w:rsid w:val="000B2A0F"/>
    <w:rsid w:val="000B477F"/>
    <w:rsid w:val="000B64F8"/>
    <w:rsid w:val="000B7281"/>
    <w:rsid w:val="000B73BA"/>
    <w:rsid w:val="000C05BF"/>
    <w:rsid w:val="000C0757"/>
    <w:rsid w:val="000C07A1"/>
    <w:rsid w:val="000C082E"/>
    <w:rsid w:val="000C0FB6"/>
    <w:rsid w:val="000C3F40"/>
    <w:rsid w:val="000C43A2"/>
    <w:rsid w:val="000C4679"/>
    <w:rsid w:val="000C521E"/>
    <w:rsid w:val="000C575D"/>
    <w:rsid w:val="000C5810"/>
    <w:rsid w:val="000C5E4F"/>
    <w:rsid w:val="000C6EED"/>
    <w:rsid w:val="000C7C39"/>
    <w:rsid w:val="000D2C16"/>
    <w:rsid w:val="000D3986"/>
    <w:rsid w:val="000D6493"/>
    <w:rsid w:val="000D7BB7"/>
    <w:rsid w:val="000E15AA"/>
    <w:rsid w:val="000E21AD"/>
    <w:rsid w:val="000E25FB"/>
    <w:rsid w:val="000E287F"/>
    <w:rsid w:val="000E29B2"/>
    <w:rsid w:val="000E418E"/>
    <w:rsid w:val="000E516D"/>
    <w:rsid w:val="000F03D7"/>
    <w:rsid w:val="000F1533"/>
    <w:rsid w:val="000F1A72"/>
    <w:rsid w:val="000F2632"/>
    <w:rsid w:val="000F46A7"/>
    <w:rsid w:val="000F4B53"/>
    <w:rsid w:val="000F53BE"/>
    <w:rsid w:val="000F6168"/>
    <w:rsid w:val="00101F98"/>
    <w:rsid w:val="00102180"/>
    <w:rsid w:val="00102DFB"/>
    <w:rsid w:val="001031E7"/>
    <w:rsid w:val="00104517"/>
    <w:rsid w:val="00105760"/>
    <w:rsid w:val="001069BA"/>
    <w:rsid w:val="00107EB4"/>
    <w:rsid w:val="00116E2A"/>
    <w:rsid w:val="001210BF"/>
    <w:rsid w:val="00121AD6"/>
    <w:rsid w:val="00122BDB"/>
    <w:rsid w:val="00122EC2"/>
    <w:rsid w:val="00123082"/>
    <w:rsid w:val="00123704"/>
    <w:rsid w:val="00124B64"/>
    <w:rsid w:val="00125028"/>
    <w:rsid w:val="00125154"/>
    <w:rsid w:val="00125A07"/>
    <w:rsid w:val="001264C1"/>
    <w:rsid w:val="001269F6"/>
    <w:rsid w:val="001270C7"/>
    <w:rsid w:val="0012785D"/>
    <w:rsid w:val="00130028"/>
    <w:rsid w:val="00130DA2"/>
    <w:rsid w:val="00131B9B"/>
    <w:rsid w:val="00131D1F"/>
    <w:rsid w:val="00132DB3"/>
    <w:rsid w:val="00133565"/>
    <w:rsid w:val="00134D07"/>
    <w:rsid w:val="00136130"/>
    <w:rsid w:val="00136D94"/>
    <w:rsid w:val="00141023"/>
    <w:rsid w:val="0014161D"/>
    <w:rsid w:val="00142259"/>
    <w:rsid w:val="00142628"/>
    <w:rsid w:val="00142859"/>
    <w:rsid w:val="001429A1"/>
    <w:rsid w:val="00142BCD"/>
    <w:rsid w:val="00144379"/>
    <w:rsid w:val="0014786A"/>
    <w:rsid w:val="00147A07"/>
    <w:rsid w:val="00150BEE"/>
    <w:rsid w:val="0015109B"/>
    <w:rsid w:val="001516A4"/>
    <w:rsid w:val="00154AD8"/>
    <w:rsid w:val="00157C66"/>
    <w:rsid w:val="00163F42"/>
    <w:rsid w:val="00163F5B"/>
    <w:rsid w:val="00163FA2"/>
    <w:rsid w:val="00163FF4"/>
    <w:rsid w:val="00164384"/>
    <w:rsid w:val="00164D75"/>
    <w:rsid w:val="00165BCE"/>
    <w:rsid w:val="00166242"/>
    <w:rsid w:val="00167F79"/>
    <w:rsid w:val="00170596"/>
    <w:rsid w:val="00171AFC"/>
    <w:rsid w:val="001739A0"/>
    <w:rsid w:val="001753DD"/>
    <w:rsid w:val="001802CA"/>
    <w:rsid w:val="00180CBA"/>
    <w:rsid w:val="00181629"/>
    <w:rsid w:val="00181A35"/>
    <w:rsid w:val="00181A8F"/>
    <w:rsid w:val="00182C7C"/>
    <w:rsid w:val="00183CBA"/>
    <w:rsid w:val="00183FB1"/>
    <w:rsid w:val="00185576"/>
    <w:rsid w:val="00185951"/>
    <w:rsid w:val="00191587"/>
    <w:rsid w:val="00192687"/>
    <w:rsid w:val="0019336F"/>
    <w:rsid w:val="00193994"/>
    <w:rsid w:val="00194809"/>
    <w:rsid w:val="001952F9"/>
    <w:rsid w:val="00195B13"/>
    <w:rsid w:val="001A2505"/>
    <w:rsid w:val="001A4CE3"/>
    <w:rsid w:val="001A5422"/>
    <w:rsid w:val="001A5509"/>
    <w:rsid w:val="001B0189"/>
    <w:rsid w:val="001B01D9"/>
    <w:rsid w:val="001B1B4E"/>
    <w:rsid w:val="001B2C4B"/>
    <w:rsid w:val="001B5DC5"/>
    <w:rsid w:val="001B7630"/>
    <w:rsid w:val="001B793F"/>
    <w:rsid w:val="001B7D7E"/>
    <w:rsid w:val="001C0CF4"/>
    <w:rsid w:val="001C1AF8"/>
    <w:rsid w:val="001C3A84"/>
    <w:rsid w:val="001C3DBE"/>
    <w:rsid w:val="001C3DE6"/>
    <w:rsid w:val="001C47F8"/>
    <w:rsid w:val="001C49CC"/>
    <w:rsid w:val="001C4E93"/>
    <w:rsid w:val="001C5566"/>
    <w:rsid w:val="001C6550"/>
    <w:rsid w:val="001C6E42"/>
    <w:rsid w:val="001C793E"/>
    <w:rsid w:val="001D0371"/>
    <w:rsid w:val="001D0FB6"/>
    <w:rsid w:val="001D288C"/>
    <w:rsid w:val="001D2B7F"/>
    <w:rsid w:val="001D5178"/>
    <w:rsid w:val="001D7F60"/>
    <w:rsid w:val="001E1E35"/>
    <w:rsid w:val="001E2B9C"/>
    <w:rsid w:val="001E34C6"/>
    <w:rsid w:val="001E5581"/>
    <w:rsid w:val="001E73BA"/>
    <w:rsid w:val="001F0250"/>
    <w:rsid w:val="001F0D75"/>
    <w:rsid w:val="001F2538"/>
    <w:rsid w:val="001F2BED"/>
    <w:rsid w:val="001F3AD3"/>
    <w:rsid w:val="001F4D72"/>
    <w:rsid w:val="001F562C"/>
    <w:rsid w:val="001F583B"/>
    <w:rsid w:val="001F6340"/>
    <w:rsid w:val="002068BD"/>
    <w:rsid w:val="00210629"/>
    <w:rsid w:val="00211122"/>
    <w:rsid w:val="00211CA3"/>
    <w:rsid w:val="002121BE"/>
    <w:rsid w:val="0021384A"/>
    <w:rsid w:val="002153D3"/>
    <w:rsid w:val="00216302"/>
    <w:rsid w:val="002165AB"/>
    <w:rsid w:val="00216ADD"/>
    <w:rsid w:val="002212B1"/>
    <w:rsid w:val="00221806"/>
    <w:rsid w:val="002222A2"/>
    <w:rsid w:val="0022295F"/>
    <w:rsid w:val="00223E42"/>
    <w:rsid w:val="0022492C"/>
    <w:rsid w:val="00234DF4"/>
    <w:rsid w:val="00234F48"/>
    <w:rsid w:val="00237401"/>
    <w:rsid w:val="00237F45"/>
    <w:rsid w:val="0024163C"/>
    <w:rsid w:val="00242356"/>
    <w:rsid w:val="002428E3"/>
    <w:rsid w:val="00244370"/>
    <w:rsid w:val="00245D7D"/>
    <w:rsid w:val="00247458"/>
    <w:rsid w:val="0024769E"/>
    <w:rsid w:val="0025034D"/>
    <w:rsid w:val="00254057"/>
    <w:rsid w:val="00254103"/>
    <w:rsid w:val="002568BC"/>
    <w:rsid w:val="00256E73"/>
    <w:rsid w:val="0025774B"/>
    <w:rsid w:val="002579E2"/>
    <w:rsid w:val="002604F1"/>
    <w:rsid w:val="00260BAF"/>
    <w:rsid w:val="00261F77"/>
    <w:rsid w:val="00262363"/>
    <w:rsid w:val="002633CA"/>
    <w:rsid w:val="002644F5"/>
    <w:rsid w:val="00264CB9"/>
    <w:rsid w:val="002650F7"/>
    <w:rsid w:val="00266018"/>
    <w:rsid w:val="00267BA5"/>
    <w:rsid w:val="0027051F"/>
    <w:rsid w:val="002731C3"/>
    <w:rsid w:val="002733CD"/>
    <w:rsid w:val="0027471C"/>
    <w:rsid w:val="00277660"/>
    <w:rsid w:val="002803F3"/>
    <w:rsid w:val="0028070F"/>
    <w:rsid w:val="00280CF7"/>
    <w:rsid w:val="00280F74"/>
    <w:rsid w:val="00281846"/>
    <w:rsid w:val="00283363"/>
    <w:rsid w:val="00286998"/>
    <w:rsid w:val="002874CC"/>
    <w:rsid w:val="00290320"/>
    <w:rsid w:val="00290657"/>
    <w:rsid w:val="002912E8"/>
    <w:rsid w:val="002957DE"/>
    <w:rsid w:val="00296115"/>
    <w:rsid w:val="00297320"/>
    <w:rsid w:val="00297C1E"/>
    <w:rsid w:val="002A149F"/>
    <w:rsid w:val="002A1CB5"/>
    <w:rsid w:val="002A310E"/>
    <w:rsid w:val="002A5261"/>
    <w:rsid w:val="002A6BF7"/>
    <w:rsid w:val="002B0F2F"/>
    <w:rsid w:val="002B153C"/>
    <w:rsid w:val="002B28CE"/>
    <w:rsid w:val="002B7582"/>
    <w:rsid w:val="002B76D0"/>
    <w:rsid w:val="002C2320"/>
    <w:rsid w:val="002C3659"/>
    <w:rsid w:val="002C45B0"/>
    <w:rsid w:val="002C6064"/>
    <w:rsid w:val="002C6A05"/>
    <w:rsid w:val="002C7285"/>
    <w:rsid w:val="002C7362"/>
    <w:rsid w:val="002C75D9"/>
    <w:rsid w:val="002C77AF"/>
    <w:rsid w:val="002D1801"/>
    <w:rsid w:val="002D3129"/>
    <w:rsid w:val="002D317B"/>
    <w:rsid w:val="002D5EFE"/>
    <w:rsid w:val="002D6BF5"/>
    <w:rsid w:val="002D70F3"/>
    <w:rsid w:val="002E05CA"/>
    <w:rsid w:val="002E0F69"/>
    <w:rsid w:val="002E14DF"/>
    <w:rsid w:val="002E14E1"/>
    <w:rsid w:val="002E184D"/>
    <w:rsid w:val="002E1FAD"/>
    <w:rsid w:val="002E3F64"/>
    <w:rsid w:val="002E44D1"/>
    <w:rsid w:val="002E572E"/>
    <w:rsid w:val="002E7941"/>
    <w:rsid w:val="002F19E7"/>
    <w:rsid w:val="002F1D5F"/>
    <w:rsid w:val="002F35DC"/>
    <w:rsid w:val="002F56DD"/>
    <w:rsid w:val="002F5E6C"/>
    <w:rsid w:val="002F6CE5"/>
    <w:rsid w:val="002F7070"/>
    <w:rsid w:val="0030018C"/>
    <w:rsid w:val="00300D9E"/>
    <w:rsid w:val="0030201A"/>
    <w:rsid w:val="00302C0A"/>
    <w:rsid w:val="00303724"/>
    <w:rsid w:val="003051CC"/>
    <w:rsid w:val="003066E0"/>
    <w:rsid w:val="00306B7E"/>
    <w:rsid w:val="00307981"/>
    <w:rsid w:val="00307CF0"/>
    <w:rsid w:val="00311D97"/>
    <w:rsid w:val="00312597"/>
    <w:rsid w:val="003139A4"/>
    <w:rsid w:val="003141DF"/>
    <w:rsid w:val="003152C7"/>
    <w:rsid w:val="0031751C"/>
    <w:rsid w:val="00320AE3"/>
    <w:rsid w:val="00321AA3"/>
    <w:rsid w:val="003227F6"/>
    <w:rsid w:val="003258B8"/>
    <w:rsid w:val="00326699"/>
    <w:rsid w:val="003267FF"/>
    <w:rsid w:val="0032788D"/>
    <w:rsid w:val="0033173E"/>
    <w:rsid w:val="00331B8E"/>
    <w:rsid w:val="0033207E"/>
    <w:rsid w:val="00333036"/>
    <w:rsid w:val="003331DA"/>
    <w:rsid w:val="00333A9E"/>
    <w:rsid w:val="00334334"/>
    <w:rsid w:val="00335F89"/>
    <w:rsid w:val="003412ED"/>
    <w:rsid w:val="00341585"/>
    <w:rsid w:val="00342938"/>
    <w:rsid w:val="00343F24"/>
    <w:rsid w:val="003477DF"/>
    <w:rsid w:val="00350DC8"/>
    <w:rsid w:val="00353D56"/>
    <w:rsid w:val="003554B8"/>
    <w:rsid w:val="00355575"/>
    <w:rsid w:val="003555BF"/>
    <w:rsid w:val="0036223B"/>
    <w:rsid w:val="0036252A"/>
    <w:rsid w:val="003643E8"/>
    <w:rsid w:val="003646BF"/>
    <w:rsid w:val="00364D9D"/>
    <w:rsid w:val="003668AB"/>
    <w:rsid w:val="00371603"/>
    <w:rsid w:val="003735B9"/>
    <w:rsid w:val="003737A8"/>
    <w:rsid w:val="0037461E"/>
    <w:rsid w:val="00374748"/>
    <w:rsid w:val="00381DA9"/>
    <w:rsid w:val="00382AE3"/>
    <w:rsid w:val="00383906"/>
    <w:rsid w:val="00383DA1"/>
    <w:rsid w:val="0038530F"/>
    <w:rsid w:val="00387B4A"/>
    <w:rsid w:val="00387E90"/>
    <w:rsid w:val="003912B4"/>
    <w:rsid w:val="0039160C"/>
    <w:rsid w:val="00392007"/>
    <w:rsid w:val="0039660F"/>
    <w:rsid w:val="0039741E"/>
    <w:rsid w:val="0039744C"/>
    <w:rsid w:val="00397C46"/>
    <w:rsid w:val="003A06C8"/>
    <w:rsid w:val="003A0D7C"/>
    <w:rsid w:val="003A1E73"/>
    <w:rsid w:val="003A32D7"/>
    <w:rsid w:val="003A65E8"/>
    <w:rsid w:val="003A667A"/>
    <w:rsid w:val="003A74F5"/>
    <w:rsid w:val="003A7AFA"/>
    <w:rsid w:val="003A7CA6"/>
    <w:rsid w:val="003B40BE"/>
    <w:rsid w:val="003B4CB4"/>
    <w:rsid w:val="003B518B"/>
    <w:rsid w:val="003B58E3"/>
    <w:rsid w:val="003B7612"/>
    <w:rsid w:val="003B7EE7"/>
    <w:rsid w:val="003C02F1"/>
    <w:rsid w:val="003C18C0"/>
    <w:rsid w:val="003C6ADC"/>
    <w:rsid w:val="003C7467"/>
    <w:rsid w:val="003D1F17"/>
    <w:rsid w:val="003D244F"/>
    <w:rsid w:val="003D39B0"/>
    <w:rsid w:val="003D39EC"/>
    <w:rsid w:val="003D3E27"/>
    <w:rsid w:val="003D53B3"/>
    <w:rsid w:val="003D5452"/>
    <w:rsid w:val="003D606F"/>
    <w:rsid w:val="003D6943"/>
    <w:rsid w:val="003D78F6"/>
    <w:rsid w:val="003E0D8B"/>
    <w:rsid w:val="003E0DD1"/>
    <w:rsid w:val="003E3DD5"/>
    <w:rsid w:val="003E537A"/>
    <w:rsid w:val="003E55D6"/>
    <w:rsid w:val="003E6406"/>
    <w:rsid w:val="003E6FCE"/>
    <w:rsid w:val="003E713E"/>
    <w:rsid w:val="003E7BF8"/>
    <w:rsid w:val="003E7ECF"/>
    <w:rsid w:val="003F0833"/>
    <w:rsid w:val="003F0B8C"/>
    <w:rsid w:val="003F0D7A"/>
    <w:rsid w:val="003F14C6"/>
    <w:rsid w:val="003F1ECD"/>
    <w:rsid w:val="003F26FC"/>
    <w:rsid w:val="003F350F"/>
    <w:rsid w:val="003F44B7"/>
    <w:rsid w:val="003F6AD3"/>
    <w:rsid w:val="003F75A0"/>
    <w:rsid w:val="00400F1C"/>
    <w:rsid w:val="0040306E"/>
    <w:rsid w:val="004030D8"/>
    <w:rsid w:val="00404B4E"/>
    <w:rsid w:val="00405BB4"/>
    <w:rsid w:val="00406AF7"/>
    <w:rsid w:val="004075F2"/>
    <w:rsid w:val="00410DE8"/>
    <w:rsid w:val="00411100"/>
    <w:rsid w:val="004111DA"/>
    <w:rsid w:val="00413D48"/>
    <w:rsid w:val="00414ACD"/>
    <w:rsid w:val="004213B0"/>
    <w:rsid w:val="00422948"/>
    <w:rsid w:val="00422FEE"/>
    <w:rsid w:val="00430CBE"/>
    <w:rsid w:val="004374FA"/>
    <w:rsid w:val="00441AC2"/>
    <w:rsid w:val="004425A0"/>
    <w:rsid w:val="00444592"/>
    <w:rsid w:val="00444BDE"/>
    <w:rsid w:val="00445FEE"/>
    <w:rsid w:val="0044678E"/>
    <w:rsid w:val="004469C1"/>
    <w:rsid w:val="00447E60"/>
    <w:rsid w:val="0045061E"/>
    <w:rsid w:val="004510AC"/>
    <w:rsid w:val="004520E4"/>
    <w:rsid w:val="004528F1"/>
    <w:rsid w:val="00452BCD"/>
    <w:rsid w:val="00453A1E"/>
    <w:rsid w:val="004541F0"/>
    <w:rsid w:val="00454EC1"/>
    <w:rsid w:val="00456A79"/>
    <w:rsid w:val="00456B63"/>
    <w:rsid w:val="00456C9B"/>
    <w:rsid w:val="0046002C"/>
    <w:rsid w:val="00460E7F"/>
    <w:rsid w:val="0046218D"/>
    <w:rsid w:val="0046263F"/>
    <w:rsid w:val="00463FDE"/>
    <w:rsid w:val="0046457D"/>
    <w:rsid w:val="004655AB"/>
    <w:rsid w:val="004659CD"/>
    <w:rsid w:val="0046669D"/>
    <w:rsid w:val="00466CA1"/>
    <w:rsid w:val="00467D2E"/>
    <w:rsid w:val="00470830"/>
    <w:rsid w:val="0047198F"/>
    <w:rsid w:val="004726E9"/>
    <w:rsid w:val="00473B74"/>
    <w:rsid w:val="00476808"/>
    <w:rsid w:val="00476C91"/>
    <w:rsid w:val="00480751"/>
    <w:rsid w:val="004815AD"/>
    <w:rsid w:val="0048181B"/>
    <w:rsid w:val="00483F0B"/>
    <w:rsid w:val="004840FD"/>
    <w:rsid w:val="00484913"/>
    <w:rsid w:val="00486000"/>
    <w:rsid w:val="004867E2"/>
    <w:rsid w:val="00487527"/>
    <w:rsid w:val="00492A5E"/>
    <w:rsid w:val="004956ED"/>
    <w:rsid w:val="004A5672"/>
    <w:rsid w:val="004A5F55"/>
    <w:rsid w:val="004A7BAF"/>
    <w:rsid w:val="004B02EC"/>
    <w:rsid w:val="004B30C6"/>
    <w:rsid w:val="004B3BB8"/>
    <w:rsid w:val="004B5465"/>
    <w:rsid w:val="004B68F5"/>
    <w:rsid w:val="004B7506"/>
    <w:rsid w:val="004C0099"/>
    <w:rsid w:val="004C1744"/>
    <w:rsid w:val="004C4242"/>
    <w:rsid w:val="004C5B7D"/>
    <w:rsid w:val="004C6647"/>
    <w:rsid w:val="004C67A5"/>
    <w:rsid w:val="004C7FE0"/>
    <w:rsid w:val="004D07B2"/>
    <w:rsid w:val="004D106D"/>
    <w:rsid w:val="004D1C3B"/>
    <w:rsid w:val="004D2E94"/>
    <w:rsid w:val="004D372F"/>
    <w:rsid w:val="004D403F"/>
    <w:rsid w:val="004D4757"/>
    <w:rsid w:val="004D5643"/>
    <w:rsid w:val="004D6440"/>
    <w:rsid w:val="004D7F8B"/>
    <w:rsid w:val="004E022E"/>
    <w:rsid w:val="004E13BE"/>
    <w:rsid w:val="004E271E"/>
    <w:rsid w:val="004E32F0"/>
    <w:rsid w:val="004E466E"/>
    <w:rsid w:val="004E4EE9"/>
    <w:rsid w:val="004E60C0"/>
    <w:rsid w:val="004E7715"/>
    <w:rsid w:val="004F1A0C"/>
    <w:rsid w:val="004F252B"/>
    <w:rsid w:val="004F391C"/>
    <w:rsid w:val="004F3C83"/>
    <w:rsid w:val="004F4285"/>
    <w:rsid w:val="004F5098"/>
    <w:rsid w:val="004F680B"/>
    <w:rsid w:val="004F6950"/>
    <w:rsid w:val="004F6AC7"/>
    <w:rsid w:val="00502AF4"/>
    <w:rsid w:val="00502CE8"/>
    <w:rsid w:val="00504887"/>
    <w:rsid w:val="00504EC6"/>
    <w:rsid w:val="005059B4"/>
    <w:rsid w:val="00505E80"/>
    <w:rsid w:val="00507B8D"/>
    <w:rsid w:val="00510633"/>
    <w:rsid w:val="00510A6A"/>
    <w:rsid w:val="00512A53"/>
    <w:rsid w:val="00513024"/>
    <w:rsid w:val="00514044"/>
    <w:rsid w:val="00514729"/>
    <w:rsid w:val="005150FC"/>
    <w:rsid w:val="00516022"/>
    <w:rsid w:val="005166D1"/>
    <w:rsid w:val="0052176C"/>
    <w:rsid w:val="00521CEE"/>
    <w:rsid w:val="00523F8B"/>
    <w:rsid w:val="00524D65"/>
    <w:rsid w:val="00526E66"/>
    <w:rsid w:val="00526EC4"/>
    <w:rsid w:val="00530233"/>
    <w:rsid w:val="00531C06"/>
    <w:rsid w:val="00532172"/>
    <w:rsid w:val="00532596"/>
    <w:rsid w:val="00534216"/>
    <w:rsid w:val="00534880"/>
    <w:rsid w:val="00535927"/>
    <w:rsid w:val="0053789D"/>
    <w:rsid w:val="00537ADE"/>
    <w:rsid w:val="00537DB3"/>
    <w:rsid w:val="005415F2"/>
    <w:rsid w:val="005452CC"/>
    <w:rsid w:val="005466EF"/>
    <w:rsid w:val="005469CE"/>
    <w:rsid w:val="005477C5"/>
    <w:rsid w:val="00547CB3"/>
    <w:rsid w:val="005505A1"/>
    <w:rsid w:val="005506A2"/>
    <w:rsid w:val="005530A7"/>
    <w:rsid w:val="005546E2"/>
    <w:rsid w:val="00554727"/>
    <w:rsid w:val="005553AD"/>
    <w:rsid w:val="005557A8"/>
    <w:rsid w:val="00556D2C"/>
    <w:rsid w:val="0055776D"/>
    <w:rsid w:val="00561921"/>
    <w:rsid w:val="005624A7"/>
    <w:rsid w:val="00562ED1"/>
    <w:rsid w:val="0056454C"/>
    <w:rsid w:val="005652E2"/>
    <w:rsid w:val="00566F34"/>
    <w:rsid w:val="00570C48"/>
    <w:rsid w:val="00572048"/>
    <w:rsid w:val="00573041"/>
    <w:rsid w:val="0057402A"/>
    <w:rsid w:val="0057402C"/>
    <w:rsid w:val="005749A5"/>
    <w:rsid w:val="0057732A"/>
    <w:rsid w:val="00580FAE"/>
    <w:rsid w:val="00582942"/>
    <w:rsid w:val="005831E3"/>
    <w:rsid w:val="00584568"/>
    <w:rsid w:val="00587797"/>
    <w:rsid w:val="005903FB"/>
    <w:rsid w:val="00593255"/>
    <w:rsid w:val="005936CB"/>
    <w:rsid w:val="00593B69"/>
    <w:rsid w:val="005943F9"/>
    <w:rsid w:val="0059530B"/>
    <w:rsid w:val="0059680A"/>
    <w:rsid w:val="005968D8"/>
    <w:rsid w:val="00597477"/>
    <w:rsid w:val="005A03A3"/>
    <w:rsid w:val="005A1D89"/>
    <w:rsid w:val="005A463A"/>
    <w:rsid w:val="005A6ADB"/>
    <w:rsid w:val="005A79E3"/>
    <w:rsid w:val="005B0ADD"/>
    <w:rsid w:val="005B1F75"/>
    <w:rsid w:val="005B36E0"/>
    <w:rsid w:val="005B42C0"/>
    <w:rsid w:val="005B4F97"/>
    <w:rsid w:val="005B5B4B"/>
    <w:rsid w:val="005B6A16"/>
    <w:rsid w:val="005B6D87"/>
    <w:rsid w:val="005B77E3"/>
    <w:rsid w:val="005C164B"/>
    <w:rsid w:val="005C1A3A"/>
    <w:rsid w:val="005C22DD"/>
    <w:rsid w:val="005C3CD1"/>
    <w:rsid w:val="005C3FE0"/>
    <w:rsid w:val="005C400C"/>
    <w:rsid w:val="005C4A83"/>
    <w:rsid w:val="005C7308"/>
    <w:rsid w:val="005C740C"/>
    <w:rsid w:val="005C79BA"/>
    <w:rsid w:val="005D0300"/>
    <w:rsid w:val="005D063A"/>
    <w:rsid w:val="005D1E27"/>
    <w:rsid w:val="005D3322"/>
    <w:rsid w:val="005D5E0D"/>
    <w:rsid w:val="005D6886"/>
    <w:rsid w:val="005E17A4"/>
    <w:rsid w:val="005E25D4"/>
    <w:rsid w:val="005E2C44"/>
    <w:rsid w:val="005E6236"/>
    <w:rsid w:val="005F0E31"/>
    <w:rsid w:val="005F23DB"/>
    <w:rsid w:val="005F2F08"/>
    <w:rsid w:val="005F3C85"/>
    <w:rsid w:val="005F3FB6"/>
    <w:rsid w:val="005F431D"/>
    <w:rsid w:val="005F4FE7"/>
    <w:rsid w:val="005F55C9"/>
    <w:rsid w:val="00600777"/>
    <w:rsid w:val="0060167A"/>
    <w:rsid w:val="00602145"/>
    <w:rsid w:val="00603D48"/>
    <w:rsid w:val="00604859"/>
    <w:rsid w:val="006048F4"/>
    <w:rsid w:val="00604F46"/>
    <w:rsid w:val="006064E1"/>
    <w:rsid w:val="0060660A"/>
    <w:rsid w:val="00610AAA"/>
    <w:rsid w:val="00611CB0"/>
    <w:rsid w:val="00612294"/>
    <w:rsid w:val="006123B1"/>
    <w:rsid w:val="00613D07"/>
    <w:rsid w:val="006144B7"/>
    <w:rsid w:val="0061509D"/>
    <w:rsid w:val="006154C6"/>
    <w:rsid w:val="00615DAA"/>
    <w:rsid w:val="00617313"/>
    <w:rsid w:val="00617A44"/>
    <w:rsid w:val="00621767"/>
    <w:rsid w:val="00625CD0"/>
    <w:rsid w:val="00625EB1"/>
    <w:rsid w:val="006271BD"/>
    <w:rsid w:val="006316B8"/>
    <w:rsid w:val="00631889"/>
    <w:rsid w:val="00632896"/>
    <w:rsid w:val="006329A1"/>
    <w:rsid w:val="00633D2B"/>
    <w:rsid w:val="00634A3C"/>
    <w:rsid w:val="00635DE3"/>
    <w:rsid w:val="00636AFD"/>
    <w:rsid w:val="006375B8"/>
    <w:rsid w:val="00645EC4"/>
    <w:rsid w:val="006469F6"/>
    <w:rsid w:val="00646E47"/>
    <w:rsid w:val="00651441"/>
    <w:rsid w:val="00651DC0"/>
    <w:rsid w:val="006522A0"/>
    <w:rsid w:val="0065281C"/>
    <w:rsid w:val="0065283E"/>
    <w:rsid w:val="00652CDB"/>
    <w:rsid w:val="006565D2"/>
    <w:rsid w:val="006569DB"/>
    <w:rsid w:val="00656C96"/>
    <w:rsid w:val="00657247"/>
    <w:rsid w:val="006612BE"/>
    <w:rsid w:val="006614C4"/>
    <w:rsid w:val="00661591"/>
    <w:rsid w:val="00662125"/>
    <w:rsid w:val="00663E9A"/>
    <w:rsid w:val="0066632F"/>
    <w:rsid w:val="006665E1"/>
    <w:rsid w:val="00667BAB"/>
    <w:rsid w:val="0067057E"/>
    <w:rsid w:val="00670DD3"/>
    <w:rsid w:val="006711DA"/>
    <w:rsid w:val="0067329B"/>
    <w:rsid w:val="00674479"/>
    <w:rsid w:val="00674C14"/>
    <w:rsid w:val="00676BE3"/>
    <w:rsid w:val="0068182A"/>
    <w:rsid w:val="00681B2D"/>
    <w:rsid w:val="00684D62"/>
    <w:rsid w:val="00687998"/>
    <w:rsid w:val="00687CFF"/>
    <w:rsid w:val="0069047B"/>
    <w:rsid w:val="00690DCA"/>
    <w:rsid w:val="00691046"/>
    <w:rsid w:val="00692E7B"/>
    <w:rsid w:val="0069317D"/>
    <w:rsid w:val="006956A1"/>
    <w:rsid w:val="0069702B"/>
    <w:rsid w:val="006A2421"/>
    <w:rsid w:val="006A3362"/>
    <w:rsid w:val="006A4DB5"/>
    <w:rsid w:val="006A52D6"/>
    <w:rsid w:val="006A670C"/>
    <w:rsid w:val="006A6FA2"/>
    <w:rsid w:val="006A73B3"/>
    <w:rsid w:val="006A78DD"/>
    <w:rsid w:val="006A7A23"/>
    <w:rsid w:val="006B021E"/>
    <w:rsid w:val="006B03AF"/>
    <w:rsid w:val="006B0D67"/>
    <w:rsid w:val="006B2292"/>
    <w:rsid w:val="006B329D"/>
    <w:rsid w:val="006B331F"/>
    <w:rsid w:val="006B3A5E"/>
    <w:rsid w:val="006C114E"/>
    <w:rsid w:val="006C14D1"/>
    <w:rsid w:val="006C1AA4"/>
    <w:rsid w:val="006C1EB0"/>
    <w:rsid w:val="006C2535"/>
    <w:rsid w:val="006C2748"/>
    <w:rsid w:val="006C3A41"/>
    <w:rsid w:val="006C5267"/>
    <w:rsid w:val="006C5350"/>
    <w:rsid w:val="006C5413"/>
    <w:rsid w:val="006C65A1"/>
    <w:rsid w:val="006C6C62"/>
    <w:rsid w:val="006C7CA9"/>
    <w:rsid w:val="006D2C99"/>
    <w:rsid w:val="006D3256"/>
    <w:rsid w:val="006D4B0D"/>
    <w:rsid w:val="006D5DC2"/>
    <w:rsid w:val="006D60B4"/>
    <w:rsid w:val="006D75E1"/>
    <w:rsid w:val="006D7F64"/>
    <w:rsid w:val="006E1D2B"/>
    <w:rsid w:val="006E1F46"/>
    <w:rsid w:val="006E22A0"/>
    <w:rsid w:val="006E263E"/>
    <w:rsid w:val="006E3546"/>
    <w:rsid w:val="006E365A"/>
    <w:rsid w:val="006E38C3"/>
    <w:rsid w:val="006E4D97"/>
    <w:rsid w:val="006E7216"/>
    <w:rsid w:val="006F0F93"/>
    <w:rsid w:val="006F17B6"/>
    <w:rsid w:val="006F35FA"/>
    <w:rsid w:val="006F7597"/>
    <w:rsid w:val="00703AEF"/>
    <w:rsid w:val="00704CCA"/>
    <w:rsid w:val="0070543F"/>
    <w:rsid w:val="00705BC0"/>
    <w:rsid w:val="00705C87"/>
    <w:rsid w:val="007072A5"/>
    <w:rsid w:val="00707E10"/>
    <w:rsid w:val="00707EA6"/>
    <w:rsid w:val="00710978"/>
    <w:rsid w:val="00713044"/>
    <w:rsid w:val="00713F74"/>
    <w:rsid w:val="007146F0"/>
    <w:rsid w:val="00714C30"/>
    <w:rsid w:val="00715237"/>
    <w:rsid w:val="00715F39"/>
    <w:rsid w:val="00716F76"/>
    <w:rsid w:val="00720358"/>
    <w:rsid w:val="00720573"/>
    <w:rsid w:val="0072120E"/>
    <w:rsid w:val="00722293"/>
    <w:rsid w:val="00722F4B"/>
    <w:rsid w:val="007230FA"/>
    <w:rsid w:val="00724101"/>
    <w:rsid w:val="007250F0"/>
    <w:rsid w:val="007254A5"/>
    <w:rsid w:val="00725748"/>
    <w:rsid w:val="00730D14"/>
    <w:rsid w:val="00734374"/>
    <w:rsid w:val="00735496"/>
    <w:rsid w:val="00736D0D"/>
    <w:rsid w:val="0073720D"/>
    <w:rsid w:val="007402E0"/>
    <w:rsid w:val="00740600"/>
    <w:rsid w:val="007418AE"/>
    <w:rsid w:val="00741AF7"/>
    <w:rsid w:val="00742AB9"/>
    <w:rsid w:val="00743337"/>
    <w:rsid w:val="0074455F"/>
    <w:rsid w:val="00745016"/>
    <w:rsid w:val="00746658"/>
    <w:rsid w:val="00750A91"/>
    <w:rsid w:val="00751CF9"/>
    <w:rsid w:val="0075240B"/>
    <w:rsid w:val="0075368B"/>
    <w:rsid w:val="00754176"/>
    <w:rsid w:val="00754666"/>
    <w:rsid w:val="00754FBF"/>
    <w:rsid w:val="00755248"/>
    <w:rsid w:val="00756754"/>
    <w:rsid w:val="00757005"/>
    <w:rsid w:val="0076016D"/>
    <w:rsid w:val="007606CE"/>
    <w:rsid w:val="00760C95"/>
    <w:rsid w:val="00763BB2"/>
    <w:rsid w:val="00766206"/>
    <w:rsid w:val="0077029E"/>
    <w:rsid w:val="0077048E"/>
    <w:rsid w:val="00770864"/>
    <w:rsid w:val="007724AB"/>
    <w:rsid w:val="00772734"/>
    <w:rsid w:val="00774B22"/>
    <w:rsid w:val="00775344"/>
    <w:rsid w:val="00775D8A"/>
    <w:rsid w:val="0077737C"/>
    <w:rsid w:val="007777DF"/>
    <w:rsid w:val="00781BE3"/>
    <w:rsid w:val="00781CED"/>
    <w:rsid w:val="007831C7"/>
    <w:rsid w:val="00783559"/>
    <w:rsid w:val="00783B2B"/>
    <w:rsid w:val="0078554C"/>
    <w:rsid w:val="00785F18"/>
    <w:rsid w:val="00786645"/>
    <w:rsid w:val="00786698"/>
    <w:rsid w:val="0079029D"/>
    <w:rsid w:val="00792AB2"/>
    <w:rsid w:val="007A3BEE"/>
    <w:rsid w:val="007A4105"/>
    <w:rsid w:val="007A474C"/>
    <w:rsid w:val="007B0280"/>
    <w:rsid w:val="007B163C"/>
    <w:rsid w:val="007B2BC2"/>
    <w:rsid w:val="007B2C96"/>
    <w:rsid w:val="007B54BC"/>
    <w:rsid w:val="007B6E9D"/>
    <w:rsid w:val="007C0CE8"/>
    <w:rsid w:val="007C397C"/>
    <w:rsid w:val="007C406E"/>
    <w:rsid w:val="007C4402"/>
    <w:rsid w:val="007C66A9"/>
    <w:rsid w:val="007C7F09"/>
    <w:rsid w:val="007D08AB"/>
    <w:rsid w:val="007D0AC3"/>
    <w:rsid w:val="007D25B4"/>
    <w:rsid w:val="007D2C22"/>
    <w:rsid w:val="007D5658"/>
    <w:rsid w:val="007D6565"/>
    <w:rsid w:val="007E1149"/>
    <w:rsid w:val="007E2C0D"/>
    <w:rsid w:val="007E33F7"/>
    <w:rsid w:val="007E435C"/>
    <w:rsid w:val="007E6BE6"/>
    <w:rsid w:val="007F100C"/>
    <w:rsid w:val="007F1097"/>
    <w:rsid w:val="007F1982"/>
    <w:rsid w:val="007F428E"/>
    <w:rsid w:val="007F74ED"/>
    <w:rsid w:val="0080096E"/>
    <w:rsid w:val="008050E6"/>
    <w:rsid w:val="00806B95"/>
    <w:rsid w:val="00807805"/>
    <w:rsid w:val="008079E1"/>
    <w:rsid w:val="00810CFA"/>
    <w:rsid w:val="00811392"/>
    <w:rsid w:val="00812028"/>
    <w:rsid w:val="00814D03"/>
    <w:rsid w:val="0081537D"/>
    <w:rsid w:val="00816074"/>
    <w:rsid w:val="00817F62"/>
    <w:rsid w:val="00820F4D"/>
    <w:rsid w:val="00824629"/>
    <w:rsid w:val="0083178B"/>
    <w:rsid w:val="00833695"/>
    <w:rsid w:val="00834F99"/>
    <w:rsid w:val="008364EF"/>
    <w:rsid w:val="008374BA"/>
    <w:rsid w:val="0083788B"/>
    <w:rsid w:val="00837C66"/>
    <w:rsid w:val="008407B5"/>
    <w:rsid w:val="008409AE"/>
    <w:rsid w:val="00842A21"/>
    <w:rsid w:val="00842CD8"/>
    <w:rsid w:val="008435CC"/>
    <w:rsid w:val="00843FB4"/>
    <w:rsid w:val="00844D3C"/>
    <w:rsid w:val="00845F91"/>
    <w:rsid w:val="008517DE"/>
    <w:rsid w:val="00851BC3"/>
    <w:rsid w:val="008520D8"/>
    <w:rsid w:val="008525B2"/>
    <w:rsid w:val="008530B2"/>
    <w:rsid w:val="008553C7"/>
    <w:rsid w:val="00857526"/>
    <w:rsid w:val="00857770"/>
    <w:rsid w:val="008579E2"/>
    <w:rsid w:val="00857FEB"/>
    <w:rsid w:val="00860B95"/>
    <w:rsid w:val="008616E0"/>
    <w:rsid w:val="00862050"/>
    <w:rsid w:val="008624AD"/>
    <w:rsid w:val="008624F0"/>
    <w:rsid w:val="00864215"/>
    <w:rsid w:val="008646B0"/>
    <w:rsid w:val="00864B45"/>
    <w:rsid w:val="008666D2"/>
    <w:rsid w:val="008706CB"/>
    <w:rsid w:val="00871B05"/>
    <w:rsid w:val="008720EB"/>
    <w:rsid w:val="008735BA"/>
    <w:rsid w:val="00873E5C"/>
    <w:rsid w:val="008748AE"/>
    <w:rsid w:val="008753FC"/>
    <w:rsid w:val="008777AA"/>
    <w:rsid w:val="008802A6"/>
    <w:rsid w:val="00880A18"/>
    <w:rsid w:val="008812FB"/>
    <w:rsid w:val="00882814"/>
    <w:rsid w:val="00882C71"/>
    <w:rsid w:val="0088639C"/>
    <w:rsid w:val="00886E97"/>
    <w:rsid w:val="00891692"/>
    <w:rsid w:val="00892002"/>
    <w:rsid w:val="008934AE"/>
    <w:rsid w:val="008934E6"/>
    <w:rsid w:val="00894FF3"/>
    <w:rsid w:val="008972EA"/>
    <w:rsid w:val="008A21E5"/>
    <w:rsid w:val="008A3CAC"/>
    <w:rsid w:val="008A46A9"/>
    <w:rsid w:val="008A5A3F"/>
    <w:rsid w:val="008A646F"/>
    <w:rsid w:val="008A68C6"/>
    <w:rsid w:val="008A69D1"/>
    <w:rsid w:val="008A702B"/>
    <w:rsid w:val="008A7174"/>
    <w:rsid w:val="008B1BE5"/>
    <w:rsid w:val="008B378C"/>
    <w:rsid w:val="008B3929"/>
    <w:rsid w:val="008B3C2F"/>
    <w:rsid w:val="008B4118"/>
    <w:rsid w:val="008B4208"/>
    <w:rsid w:val="008B45D6"/>
    <w:rsid w:val="008B4CB3"/>
    <w:rsid w:val="008B54B2"/>
    <w:rsid w:val="008B720C"/>
    <w:rsid w:val="008B731A"/>
    <w:rsid w:val="008C2425"/>
    <w:rsid w:val="008C2444"/>
    <w:rsid w:val="008C3F57"/>
    <w:rsid w:val="008C46FD"/>
    <w:rsid w:val="008C5B1C"/>
    <w:rsid w:val="008C67AF"/>
    <w:rsid w:val="008C78FD"/>
    <w:rsid w:val="008D0EBE"/>
    <w:rsid w:val="008D2355"/>
    <w:rsid w:val="008D2ADF"/>
    <w:rsid w:val="008D2B30"/>
    <w:rsid w:val="008D2FA9"/>
    <w:rsid w:val="008D3CEA"/>
    <w:rsid w:val="008D4B34"/>
    <w:rsid w:val="008D5B01"/>
    <w:rsid w:val="008E22BC"/>
    <w:rsid w:val="008E29B4"/>
    <w:rsid w:val="008E35E2"/>
    <w:rsid w:val="008E5F59"/>
    <w:rsid w:val="008E7AC3"/>
    <w:rsid w:val="008F0C84"/>
    <w:rsid w:val="008F1B70"/>
    <w:rsid w:val="008F2143"/>
    <w:rsid w:val="008F4A8D"/>
    <w:rsid w:val="008F6B2F"/>
    <w:rsid w:val="00900C34"/>
    <w:rsid w:val="00901121"/>
    <w:rsid w:val="00901DEF"/>
    <w:rsid w:val="00902FF2"/>
    <w:rsid w:val="00903B67"/>
    <w:rsid w:val="00905B6D"/>
    <w:rsid w:val="0090647C"/>
    <w:rsid w:val="0090651A"/>
    <w:rsid w:val="0091000A"/>
    <w:rsid w:val="00910642"/>
    <w:rsid w:val="00910DD7"/>
    <w:rsid w:val="009138C5"/>
    <w:rsid w:val="009160BB"/>
    <w:rsid w:val="009166AD"/>
    <w:rsid w:val="00917821"/>
    <w:rsid w:val="00917BAC"/>
    <w:rsid w:val="00921A22"/>
    <w:rsid w:val="00924E90"/>
    <w:rsid w:val="00927293"/>
    <w:rsid w:val="009311C8"/>
    <w:rsid w:val="00933376"/>
    <w:rsid w:val="009336FC"/>
    <w:rsid w:val="00933C7F"/>
    <w:rsid w:val="009341BF"/>
    <w:rsid w:val="00937CE6"/>
    <w:rsid w:val="00940C5F"/>
    <w:rsid w:val="00942355"/>
    <w:rsid w:val="00943F25"/>
    <w:rsid w:val="009445AE"/>
    <w:rsid w:val="00944F01"/>
    <w:rsid w:val="00945691"/>
    <w:rsid w:val="00946D29"/>
    <w:rsid w:val="0095050D"/>
    <w:rsid w:val="009513C2"/>
    <w:rsid w:val="0095259F"/>
    <w:rsid w:val="009534EF"/>
    <w:rsid w:val="0095352B"/>
    <w:rsid w:val="00955A7F"/>
    <w:rsid w:val="0095748C"/>
    <w:rsid w:val="00960348"/>
    <w:rsid w:val="0096077C"/>
    <w:rsid w:val="0096143B"/>
    <w:rsid w:val="00961C28"/>
    <w:rsid w:val="00961FA7"/>
    <w:rsid w:val="009627A5"/>
    <w:rsid w:val="00962C56"/>
    <w:rsid w:val="0096432F"/>
    <w:rsid w:val="00964BBF"/>
    <w:rsid w:val="00964E5B"/>
    <w:rsid w:val="00964F30"/>
    <w:rsid w:val="00965FD5"/>
    <w:rsid w:val="009668DE"/>
    <w:rsid w:val="00967346"/>
    <w:rsid w:val="009711D9"/>
    <w:rsid w:val="009718F9"/>
    <w:rsid w:val="00975112"/>
    <w:rsid w:val="00975202"/>
    <w:rsid w:val="009753D7"/>
    <w:rsid w:val="00977002"/>
    <w:rsid w:val="009774C4"/>
    <w:rsid w:val="009811DF"/>
    <w:rsid w:val="00982B90"/>
    <w:rsid w:val="00982E82"/>
    <w:rsid w:val="00983333"/>
    <w:rsid w:val="00983A7C"/>
    <w:rsid w:val="00984D7B"/>
    <w:rsid w:val="00991B5F"/>
    <w:rsid w:val="00991C2E"/>
    <w:rsid w:val="00997999"/>
    <w:rsid w:val="009A0711"/>
    <w:rsid w:val="009A0FF6"/>
    <w:rsid w:val="009A15FA"/>
    <w:rsid w:val="009A19F9"/>
    <w:rsid w:val="009A3122"/>
    <w:rsid w:val="009A342B"/>
    <w:rsid w:val="009A3B71"/>
    <w:rsid w:val="009A3CA0"/>
    <w:rsid w:val="009A513F"/>
    <w:rsid w:val="009A542C"/>
    <w:rsid w:val="009A61BC"/>
    <w:rsid w:val="009A6527"/>
    <w:rsid w:val="009A676D"/>
    <w:rsid w:val="009A727A"/>
    <w:rsid w:val="009A76F4"/>
    <w:rsid w:val="009B1466"/>
    <w:rsid w:val="009B23D3"/>
    <w:rsid w:val="009B24B7"/>
    <w:rsid w:val="009B41E7"/>
    <w:rsid w:val="009B424D"/>
    <w:rsid w:val="009B57FB"/>
    <w:rsid w:val="009B7709"/>
    <w:rsid w:val="009B78CA"/>
    <w:rsid w:val="009C1AC6"/>
    <w:rsid w:val="009C1C75"/>
    <w:rsid w:val="009C37AE"/>
    <w:rsid w:val="009C42BC"/>
    <w:rsid w:val="009C4AAC"/>
    <w:rsid w:val="009C4F04"/>
    <w:rsid w:val="009C692B"/>
    <w:rsid w:val="009C6EF0"/>
    <w:rsid w:val="009C7F6B"/>
    <w:rsid w:val="009D277F"/>
    <w:rsid w:val="009D7120"/>
    <w:rsid w:val="009D7DFA"/>
    <w:rsid w:val="009E042D"/>
    <w:rsid w:val="009E1B8B"/>
    <w:rsid w:val="009E37E6"/>
    <w:rsid w:val="009E584D"/>
    <w:rsid w:val="009E6427"/>
    <w:rsid w:val="009E71C1"/>
    <w:rsid w:val="009F3851"/>
    <w:rsid w:val="00A02980"/>
    <w:rsid w:val="00A04081"/>
    <w:rsid w:val="00A043B4"/>
    <w:rsid w:val="00A04DC0"/>
    <w:rsid w:val="00A06827"/>
    <w:rsid w:val="00A07737"/>
    <w:rsid w:val="00A07D00"/>
    <w:rsid w:val="00A10372"/>
    <w:rsid w:val="00A10614"/>
    <w:rsid w:val="00A10E98"/>
    <w:rsid w:val="00A11768"/>
    <w:rsid w:val="00A118B5"/>
    <w:rsid w:val="00A12458"/>
    <w:rsid w:val="00A13499"/>
    <w:rsid w:val="00A140D0"/>
    <w:rsid w:val="00A149C1"/>
    <w:rsid w:val="00A14A93"/>
    <w:rsid w:val="00A14D85"/>
    <w:rsid w:val="00A167EA"/>
    <w:rsid w:val="00A2172A"/>
    <w:rsid w:val="00A21A93"/>
    <w:rsid w:val="00A21B3B"/>
    <w:rsid w:val="00A2455B"/>
    <w:rsid w:val="00A245B7"/>
    <w:rsid w:val="00A25B4A"/>
    <w:rsid w:val="00A27328"/>
    <w:rsid w:val="00A277F9"/>
    <w:rsid w:val="00A30E68"/>
    <w:rsid w:val="00A31885"/>
    <w:rsid w:val="00A33763"/>
    <w:rsid w:val="00A34AA0"/>
    <w:rsid w:val="00A35B30"/>
    <w:rsid w:val="00A35BEC"/>
    <w:rsid w:val="00A373C4"/>
    <w:rsid w:val="00A37B8E"/>
    <w:rsid w:val="00A41EFC"/>
    <w:rsid w:val="00A4371E"/>
    <w:rsid w:val="00A47733"/>
    <w:rsid w:val="00A51101"/>
    <w:rsid w:val="00A511CD"/>
    <w:rsid w:val="00A53C7D"/>
    <w:rsid w:val="00A551E6"/>
    <w:rsid w:val="00A55C55"/>
    <w:rsid w:val="00A56946"/>
    <w:rsid w:val="00A578D8"/>
    <w:rsid w:val="00A61759"/>
    <w:rsid w:val="00A63889"/>
    <w:rsid w:val="00A6421B"/>
    <w:rsid w:val="00A64A23"/>
    <w:rsid w:val="00A65FF9"/>
    <w:rsid w:val="00A7084E"/>
    <w:rsid w:val="00A70E93"/>
    <w:rsid w:val="00A71A15"/>
    <w:rsid w:val="00A74DEC"/>
    <w:rsid w:val="00A76D10"/>
    <w:rsid w:val="00A76DC7"/>
    <w:rsid w:val="00A77D7A"/>
    <w:rsid w:val="00A84B60"/>
    <w:rsid w:val="00A84E68"/>
    <w:rsid w:val="00A84F62"/>
    <w:rsid w:val="00A8630D"/>
    <w:rsid w:val="00A87B6C"/>
    <w:rsid w:val="00A87C35"/>
    <w:rsid w:val="00A87E35"/>
    <w:rsid w:val="00A908F9"/>
    <w:rsid w:val="00A91B1B"/>
    <w:rsid w:val="00A9351D"/>
    <w:rsid w:val="00A94A09"/>
    <w:rsid w:val="00A967EE"/>
    <w:rsid w:val="00AA4277"/>
    <w:rsid w:val="00AA4C2B"/>
    <w:rsid w:val="00AA4D58"/>
    <w:rsid w:val="00AA5B94"/>
    <w:rsid w:val="00AA6265"/>
    <w:rsid w:val="00AB3D16"/>
    <w:rsid w:val="00AB4880"/>
    <w:rsid w:val="00AB5963"/>
    <w:rsid w:val="00AB762B"/>
    <w:rsid w:val="00AB78E0"/>
    <w:rsid w:val="00AC0532"/>
    <w:rsid w:val="00AC0810"/>
    <w:rsid w:val="00AC0B3D"/>
    <w:rsid w:val="00AC1ED1"/>
    <w:rsid w:val="00AC211D"/>
    <w:rsid w:val="00AC2B6D"/>
    <w:rsid w:val="00AC3701"/>
    <w:rsid w:val="00AC49D8"/>
    <w:rsid w:val="00AC523C"/>
    <w:rsid w:val="00AC567F"/>
    <w:rsid w:val="00AD0CCB"/>
    <w:rsid w:val="00AD0D21"/>
    <w:rsid w:val="00AD24CE"/>
    <w:rsid w:val="00AD279E"/>
    <w:rsid w:val="00AD2B89"/>
    <w:rsid w:val="00AD3A3C"/>
    <w:rsid w:val="00AD5C2E"/>
    <w:rsid w:val="00AE11B7"/>
    <w:rsid w:val="00AE1D85"/>
    <w:rsid w:val="00AE4E07"/>
    <w:rsid w:val="00AE5230"/>
    <w:rsid w:val="00AE5901"/>
    <w:rsid w:val="00AE77B6"/>
    <w:rsid w:val="00AE7C3A"/>
    <w:rsid w:val="00AF0612"/>
    <w:rsid w:val="00AF0888"/>
    <w:rsid w:val="00AF2170"/>
    <w:rsid w:val="00AF2C49"/>
    <w:rsid w:val="00AF2F4F"/>
    <w:rsid w:val="00AF36B0"/>
    <w:rsid w:val="00AF612D"/>
    <w:rsid w:val="00AF6A3F"/>
    <w:rsid w:val="00AF6CAF"/>
    <w:rsid w:val="00AF7505"/>
    <w:rsid w:val="00AF7691"/>
    <w:rsid w:val="00AF7F47"/>
    <w:rsid w:val="00B00A55"/>
    <w:rsid w:val="00B00F22"/>
    <w:rsid w:val="00B02CCB"/>
    <w:rsid w:val="00B0521A"/>
    <w:rsid w:val="00B06444"/>
    <w:rsid w:val="00B0686B"/>
    <w:rsid w:val="00B06C4D"/>
    <w:rsid w:val="00B06CE6"/>
    <w:rsid w:val="00B06D4B"/>
    <w:rsid w:val="00B10878"/>
    <w:rsid w:val="00B1151F"/>
    <w:rsid w:val="00B11EFF"/>
    <w:rsid w:val="00B13840"/>
    <w:rsid w:val="00B201ED"/>
    <w:rsid w:val="00B214B2"/>
    <w:rsid w:val="00B24584"/>
    <w:rsid w:val="00B24C4A"/>
    <w:rsid w:val="00B25CD9"/>
    <w:rsid w:val="00B26CCF"/>
    <w:rsid w:val="00B30004"/>
    <w:rsid w:val="00B30353"/>
    <w:rsid w:val="00B316B9"/>
    <w:rsid w:val="00B322C1"/>
    <w:rsid w:val="00B34C1E"/>
    <w:rsid w:val="00B35331"/>
    <w:rsid w:val="00B36546"/>
    <w:rsid w:val="00B424BA"/>
    <w:rsid w:val="00B443BF"/>
    <w:rsid w:val="00B464BB"/>
    <w:rsid w:val="00B51544"/>
    <w:rsid w:val="00B52E2F"/>
    <w:rsid w:val="00B531DD"/>
    <w:rsid w:val="00B542F2"/>
    <w:rsid w:val="00B54564"/>
    <w:rsid w:val="00B55390"/>
    <w:rsid w:val="00B56A07"/>
    <w:rsid w:val="00B56D45"/>
    <w:rsid w:val="00B572E8"/>
    <w:rsid w:val="00B603B4"/>
    <w:rsid w:val="00B60860"/>
    <w:rsid w:val="00B63309"/>
    <w:rsid w:val="00B645D2"/>
    <w:rsid w:val="00B67E6B"/>
    <w:rsid w:val="00B717B0"/>
    <w:rsid w:val="00B71DC2"/>
    <w:rsid w:val="00B73546"/>
    <w:rsid w:val="00B74DD5"/>
    <w:rsid w:val="00B74F88"/>
    <w:rsid w:val="00B76565"/>
    <w:rsid w:val="00B76A6E"/>
    <w:rsid w:val="00B84A83"/>
    <w:rsid w:val="00B879C7"/>
    <w:rsid w:val="00B90D3F"/>
    <w:rsid w:val="00B90DA2"/>
    <w:rsid w:val="00B93893"/>
    <w:rsid w:val="00B95E58"/>
    <w:rsid w:val="00B95FC2"/>
    <w:rsid w:val="00B979F2"/>
    <w:rsid w:val="00B97DCD"/>
    <w:rsid w:val="00BA06AC"/>
    <w:rsid w:val="00BA1B1C"/>
    <w:rsid w:val="00BA2930"/>
    <w:rsid w:val="00BA2CB0"/>
    <w:rsid w:val="00BA3472"/>
    <w:rsid w:val="00BA537F"/>
    <w:rsid w:val="00BA5E9E"/>
    <w:rsid w:val="00BA6EB6"/>
    <w:rsid w:val="00BA770E"/>
    <w:rsid w:val="00BA77F1"/>
    <w:rsid w:val="00BA7A60"/>
    <w:rsid w:val="00BA7EDA"/>
    <w:rsid w:val="00BB11E1"/>
    <w:rsid w:val="00BB1594"/>
    <w:rsid w:val="00BB1670"/>
    <w:rsid w:val="00BB2BC0"/>
    <w:rsid w:val="00BB6DA1"/>
    <w:rsid w:val="00BB70AF"/>
    <w:rsid w:val="00BB7ABD"/>
    <w:rsid w:val="00BB7EB7"/>
    <w:rsid w:val="00BC02E9"/>
    <w:rsid w:val="00BC0A80"/>
    <w:rsid w:val="00BC12A3"/>
    <w:rsid w:val="00BC3B53"/>
    <w:rsid w:val="00BC4A98"/>
    <w:rsid w:val="00BC4D64"/>
    <w:rsid w:val="00BC56F5"/>
    <w:rsid w:val="00BC5EAA"/>
    <w:rsid w:val="00BC7D8C"/>
    <w:rsid w:val="00BD0F12"/>
    <w:rsid w:val="00BD1454"/>
    <w:rsid w:val="00BD4929"/>
    <w:rsid w:val="00BD4C0E"/>
    <w:rsid w:val="00BD5D2F"/>
    <w:rsid w:val="00BD5DFC"/>
    <w:rsid w:val="00BD7AE6"/>
    <w:rsid w:val="00BE0B32"/>
    <w:rsid w:val="00BE2497"/>
    <w:rsid w:val="00BE458E"/>
    <w:rsid w:val="00BE5564"/>
    <w:rsid w:val="00BF07D9"/>
    <w:rsid w:val="00BF1365"/>
    <w:rsid w:val="00BF2B59"/>
    <w:rsid w:val="00BF2C4F"/>
    <w:rsid w:val="00BF37A3"/>
    <w:rsid w:val="00BF3D01"/>
    <w:rsid w:val="00BF5B51"/>
    <w:rsid w:val="00C00B67"/>
    <w:rsid w:val="00C00F4E"/>
    <w:rsid w:val="00C01061"/>
    <w:rsid w:val="00C010DC"/>
    <w:rsid w:val="00C05318"/>
    <w:rsid w:val="00C05D1C"/>
    <w:rsid w:val="00C10869"/>
    <w:rsid w:val="00C117B5"/>
    <w:rsid w:val="00C117E2"/>
    <w:rsid w:val="00C12C00"/>
    <w:rsid w:val="00C12E90"/>
    <w:rsid w:val="00C12EB9"/>
    <w:rsid w:val="00C1320B"/>
    <w:rsid w:val="00C14CC1"/>
    <w:rsid w:val="00C17EB7"/>
    <w:rsid w:val="00C206F1"/>
    <w:rsid w:val="00C26035"/>
    <w:rsid w:val="00C26079"/>
    <w:rsid w:val="00C27206"/>
    <w:rsid w:val="00C30AC1"/>
    <w:rsid w:val="00C30E66"/>
    <w:rsid w:val="00C3189F"/>
    <w:rsid w:val="00C31D92"/>
    <w:rsid w:val="00C32114"/>
    <w:rsid w:val="00C3256E"/>
    <w:rsid w:val="00C33340"/>
    <w:rsid w:val="00C3445F"/>
    <w:rsid w:val="00C35A91"/>
    <w:rsid w:val="00C371A6"/>
    <w:rsid w:val="00C40C60"/>
    <w:rsid w:val="00C42F03"/>
    <w:rsid w:val="00C43022"/>
    <w:rsid w:val="00C447C0"/>
    <w:rsid w:val="00C458C9"/>
    <w:rsid w:val="00C46B84"/>
    <w:rsid w:val="00C50ECF"/>
    <w:rsid w:val="00C52281"/>
    <w:rsid w:val="00C52E42"/>
    <w:rsid w:val="00C53426"/>
    <w:rsid w:val="00C53C4B"/>
    <w:rsid w:val="00C54C1E"/>
    <w:rsid w:val="00C54FEA"/>
    <w:rsid w:val="00C55E5A"/>
    <w:rsid w:val="00C56BE8"/>
    <w:rsid w:val="00C56F0F"/>
    <w:rsid w:val="00C60E49"/>
    <w:rsid w:val="00C62A0B"/>
    <w:rsid w:val="00C63108"/>
    <w:rsid w:val="00C638E2"/>
    <w:rsid w:val="00C63FED"/>
    <w:rsid w:val="00C6537C"/>
    <w:rsid w:val="00C666E4"/>
    <w:rsid w:val="00C76D4B"/>
    <w:rsid w:val="00C812F7"/>
    <w:rsid w:val="00C833B6"/>
    <w:rsid w:val="00C85838"/>
    <w:rsid w:val="00C876B7"/>
    <w:rsid w:val="00C90846"/>
    <w:rsid w:val="00C91B2C"/>
    <w:rsid w:val="00C92CA5"/>
    <w:rsid w:val="00C93B39"/>
    <w:rsid w:val="00C95961"/>
    <w:rsid w:val="00C95F60"/>
    <w:rsid w:val="00C96ECA"/>
    <w:rsid w:val="00CA0A69"/>
    <w:rsid w:val="00CA0E76"/>
    <w:rsid w:val="00CA40F8"/>
    <w:rsid w:val="00CA473C"/>
    <w:rsid w:val="00CA47D3"/>
    <w:rsid w:val="00CA52E3"/>
    <w:rsid w:val="00CA53DE"/>
    <w:rsid w:val="00CA58C3"/>
    <w:rsid w:val="00CA5BC9"/>
    <w:rsid w:val="00CA6A55"/>
    <w:rsid w:val="00CA6DEF"/>
    <w:rsid w:val="00CB009E"/>
    <w:rsid w:val="00CB0EFF"/>
    <w:rsid w:val="00CB156F"/>
    <w:rsid w:val="00CB1BBD"/>
    <w:rsid w:val="00CB3777"/>
    <w:rsid w:val="00CB3BB6"/>
    <w:rsid w:val="00CB5A73"/>
    <w:rsid w:val="00CC0BB4"/>
    <w:rsid w:val="00CC12DF"/>
    <w:rsid w:val="00CC4D8D"/>
    <w:rsid w:val="00CC4DD8"/>
    <w:rsid w:val="00CC63E0"/>
    <w:rsid w:val="00CC6FDD"/>
    <w:rsid w:val="00CD1689"/>
    <w:rsid w:val="00CD2492"/>
    <w:rsid w:val="00CD47BA"/>
    <w:rsid w:val="00CD5427"/>
    <w:rsid w:val="00CD604A"/>
    <w:rsid w:val="00CD6791"/>
    <w:rsid w:val="00CD7B6F"/>
    <w:rsid w:val="00CD7C62"/>
    <w:rsid w:val="00CE15C4"/>
    <w:rsid w:val="00CE2E6A"/>
    <w:rsid w:val="00CE2EA9"/>
    <w:rsid w:val="00CE37B2"/>
    <w:rsid w:val="00CE41DA"/>
    <w:rsid w:val="00CE5B31"/>
    <w:rsid w:val="00CE6D64"/>
    <w:rsid w:val="00CE74D9"/>
    <w:rsid w:val="00CF03B4"/>
    <w:rsid w:val="00CF053F"/>
    <w:rsid w:val="00CF07B0"/>
    <w:rsid w:val="00CF0A55"/>
    <w:rsid w:val="00CF301C"/>
    <w:rsid w:val="00CF5000"/>
    <w:rsid w:val="00CF6FC1"/>
    <w:rsid w:val="00CF7C8B"/>
    <w:rsid w:val="00D00180"/>
    <w:rsid w:val="00D00793"/>
    <w:rsid w:val="00D01D15"/>
    <w:rsid w:val="00D03F17"/>
    <w:rsid w:val="00D04083"/>
    <w:rsid w:val="00D078E1"/>
    <w:rsid w:val="00D102D2"/>
    <w:rsid w:val="00D10AEF"/>
    <w:rsid w:val="00D12A7F"/>
    <w:rsid w:val="00D131D6"/>
    <w:rsid w:val="00D135BA"/>
    <w:rsid w:val="00D17A1D"/>
    <w:rsid w:val="00D20A5C"/>
    <w:rsid w:val="00D20C77"/>
    <w:rsid w:val="00D218AC"/>
    <w:rsid w:val="00D221A6"/>
    <w:rsid w:val="00D232A2"/>
    <w:rsid w:val="00D23522"/>
    <w:rsid w:val="00D25C90"/>
    <w:rsid w:val="00D25F5C"/>
    <w:rsid w:val="00D26196"/>
    <w:rsid w:val="00D279AE"/>
    <w:rsid w:val="00D30900"/>
    <w:rsid w:val="00D30F08"/>
    <w:rsid w:val="00D311EA"/>
    <w:rsid w:val="00D31C61"/>
    <w:rsid w:val="00D323BE"/>
    <w:rsid w:val="00D32F98"/>
    <w:rsid w:val="00D358D8"/>
    <w:rsid w:val="00D365C5"/>
    <w:rsid w:val="00D36C95"/>
    <w:rsid w:val="00D405AB"/>
    <w:rsid w:val="00D41280"/>
    <w:rsid w:val="00D41ECB"/>
    <w:rsid w:val="00D43528"/>
    <w:rsid w:val="00D45EB0"/>
    <w:rsid w:val="00D46125"/>
    <w:rsid w:val="00D52F46"/>
    <w:rsid w:val="00D5423B"/>
    <w:rsid w:val="00D54F4E"/>
    <w:rsid w:val="00D55865"/>
    <w:rsid w:val="00D56274"/>
    <w:rsid w:val="00D60BA4"/>
    <w:rsid w:val="00D61E03"/>
    <w:rsid w:val="00D62F23"/>
    <w:rsid w:val="00D6369F"/>
    <w:rsid w:val="00D64FED"/>
    <w:rsid w:val="00D6528F"/>
    <w:rsid w:val="00D67027"/>
    <w:rsid w:val="00D67A7A"/>
    <w:rsid w:val="00D67F8F"/>
    <w:rsid w:val="00D711A5"/>
    <w:rsid w:val="00D713FF"/>
    <w:rsid w:val="00D72421"/>
    <w:rsid w:val="00D734E5"/>
    <w:rsid w:val="00D73F97"/>
    <w:rsid w:val="00D745A7"/>
    <w:rsid w:val="00D749FA"/>
    <w:rsid w:val="00D74D0A"/>
    <w:rsid w:val="00D767FA"/>
    <w:rsid w:val="00D80C1E"/>
    <w:rsid w:val="00D80CCE"/>
    <w:rsid w:val="00D81D90"/>
    <w:rsid w:val="00D82202"/>
    <w:rsid w:val="00D83104"/>
    <w:rsid w:val="00D83137"/>
    <w:rsid w:val="00D85213"/>
    <w:rsid w:val="00D85A93"/>
    <w:rsid w:val="00D87FF1"/>
    <w:rsid w:val="00D91491"/>
    <w:rsid w:val="00D92483"/>
    <w:rsid w:val="00D92633"/>
    <w:rsid w:val="00D93CE9"/>
    <w:rsid w:val="00D94DB4"/>
    <w:rsid w:val="00D94F01"/>
    <w:rsid w:val="00D951CB"/>
    <w:rsid w:val="00DA11ED"/>
    <w:rsid w:val="00DA2288"/>
    <w:rsid w:val="00DA243E"/>
    <w:rsid w:val="00DA298C"/>
    <w:rsid w:val="00DB030C"/>
    <w:rsid w:val="00DB2280"/>
    <w:rsid w:val="00DB403F"/>
    <w:rsid w:val="00DB4A3A"/>
    <w:rsid w:val="00DB4FA7"/>
    <w:rsid w:val="00DB7D94"/>
    <w:rsid w:val="00DC14CF"/>
    <w:rsid w:val="00DC1AA9"/>
    <w:rsid w:val="00DC2000"/>
    <w:rsid w:val="00DC6E11"/>
    <w:rsid w:val="00DD1B91"/>
    <w:rsid w:val="00DD368B"/>
    <w:rsid w:val="00DD6E29"/>
    <w:rsid w:val="00DE1E95"/>
    <w:rsid w:val="00DE2DA8"/>
    <w:rsid w:val="00DE343C"/>
    <w:rsid w:val="00DE575C"/>
    <w:rsid w:val="00DE578A"/>
    <w:rsid w:val="00DE5D8B"/>
    <w:rsid w:val="00DE6AC5"/>
    <w:rsid w:val="00DE6E7E"/>
    <w:rsid w:val="00DE7DDA"/>
    <w:rsid w:val="00DF1D1E"/>
    <w:rsid w:val="00DF2583"/>
    <w:rsid w:val="00DF54D9"/>
    <w:rsid w:val="00DF6973"/>
    <w:rsid w:val="00DF79E9"/>
    <w:rsid w:val="00DF7E74"/>
    <w:rsid w:val="00E00687"/>
    <w:rsid w:val="00E008CB"/>
    <w:rsid w:val="00E021C8"/>
    <w:rsid w:val="00E03D32"/>
    <w:rsid w:val="00E03E8B"/>
    <w:rsid w:val="00E04465"/>
    <w:rsid w:val="00E04E34"/>
    <w:rsid w:val="00E05FDB"/>
    <w:rsid w:val="00E06402"/>
    <w:rsid w:val="00E10991"/>
    <w:rsid w:val="00E10DC6"/>
    <w:rsid w:val="00E11F8E"/>
    <w:rsid w:val="00E12B7F"/>
    <w:rsid w:val="00E145EA"/>
    <w:rsid w:val="00E17944"/>
    <w:rsid w:val="00E17BC5"/>
    <w:rsid w:val="00E20A86"/>
    <w:rsid w:val="00E22722"/>
    <w:rsid w:val="00E2347F"/>
    <w:rsid w:val="00E276B2"/>
    <w:rsid w:val="00E277E4"/>
    <w:rsid w:val="00E33FD4"/>
    <w:rsid w:val="00E34ED6"/>
    <w:rsid w:val="00E3596E"/>
    <w:rsid w:val="00E35D96"/>
    <w:rsid w:val="00E364EF"/>
    <w:rsid w:val="00E4094E"/>
    <w:rsid w:val="00E426A4"/>
    <w:rsid w:val="00E42D22"/>
    <w:rsid w:val="00E4573C"/>
    <w:rsid w:val="00E458E2"/>
    <w:rsid w:val="00E45F37"/>
    <w:rsid w:val="00E466F2"/>
    <w:rsid w:val="00E50A17"/>
    <w:rsid w:val="00E50BD4"/>
    <w:rsid w:val="00E50D26"/>
    <w:rsid w:val="00E51959"/>
    <w:rsid w:val="00E56173"/>
    <w:rsid w:val="00E56899"/>
    <w:rsid w:val="00E56ADD"/>
    <w:rsid w:val="00E575BA"/>
    <w:rsid w:val="00E5788D"/>
    <w:rsid w:val="00E57CC8"/>
    <w:rsid w:val="00E62286"/>
    <w:rsid w:val="00E634B6"/>
    <w:rsid w:val="00E634E3"/>
    <w:rsid w:val="00E645B1"/>
    <w:rsid w:val="00E6586E"/>
    <w:rsid w:val="00E659A6"/>
    <w:rsid w:val="00E724F5"/>
    <w:rsid w:val="00E744B5"/>
    <w:rsid w:val="00E75C19"/>
    <w:rsid w:val="00E75D2C"/>
    <w:rsid w:val="00E76714"/>
    <w:rsid w:val="00E768B9"/>
    <w:rsid w:val="00E80DE5"/>
    <w:rsid w:val="00E80F31"/>
    <w:rsid w:val="00E82965"/>
    <w:rsid w:val="00E85102"/>
    <w:rsid w:val="00E8592D"/>
    <w:rsid w:val="00E86633"/>
    <w:rsid w:val="00E876A6"/>
    <w:rsid w:val="00E902AF"/>
    <w:rsid w:val="00E90DBE"/>
    <w:rsid w:val="00E9497F"/>
    <w:rsid w:val="00E96D0E"/>
    <w:rsid w:val="00EA0AA8"/>
    <w:rsid w:val="00EA14C5"/>
    <w:rsid w:val="00EA1765"/>
    <w:rsid w:val="00EA26EF"/>
    <w:rsid w:val="00EA3241"/>
    <w:rsid w:val="00EA3B5F"/>
    <w:rsid w:val="00EA44F8"/>
    <w:rsid w:val="00EA5786"/>
    <w:rsid w:val="00EA615D"/>
    <w:rsid w:val="00EA75C1"/>
    <w:rsid w:val="00EA7B10"/>
    <w:rsid w:val="00EB141A"/>
    <w:rsid w:val="00EB2DEB"/>
    <w:rsid w:val="00EB40BD"/>
    <w:rsid w:val="00EB6D1A"/>
    <w:rsid w:val="00EB7038"/>
    <w:rsid w:val="00EB7550"/>
    <w:rsid w:val="00EB7C2E"/>
    <w:rsid w:val="00EC0F04"/>
    <w:rsid w:val="00EC1309"/>
    <w:rsid w:val="00EC237D"/>
    <w:rsid w:val="00EC2404"/>
    <w:rsid w:val="00EC3951"/>
    <w:rsid w:val="00EC5F70"/>
    <w:rsid w:val="00EC6AAB"/>
    <w:rsid w:val="00EC6F2A"/>
    <w:rsid w:val="00ED2F32"/>
    <w:rsid w:val="00ED2FF2"/>
    <w:rsid w:val="00ED4248"/>
    <w:rsid w:val="00ED60CA"/>
    <w:rsid w:val="00ED64EF"/>
    <w:rsid w:val="00ED6CDA"/>
    <w:rsid w:val="00EE0CAE"/>
    <w:rsid w:val="00EE0EC3"/>
    <w:rsid w:val="00EE1819"/>
    <w:rsid w:val="00EE1A75"/>
    <w:rsid w:val="00EE1B9E"/>
    <w:rsid w:val="00EE1DC0"/>
    <w:rsid w:val="00EE4A1F"/>
    <w:rsid w:val="00EE53EA"/>
    <w:rsid w:val="00EF009A"/>
    <w:rsid w:val="00EF090E"/>
    <w:rsid w:val="00EF0D0D"/>
    <w:rsid w:val="00EF0ED5"/>
    <w:rsid w:val="00EF1B5A"/>
    <w:rsid w:val="00EF2CCA"/>
    <w:rsid w:val="00EF61AC"/>
    <w:rsid w:val="00EF791D"/>
    <w:rsid w:val="00F0016F"/>
    <w:rsid w:val="00F01325"/>
    <w:rsid w:val="00F0172C"/>
    <w:rsid w:val="00F017B1"/>
    <w:rsid w:val="00F01BA1"/>
    <w:rsid w:val="00F03E1B"/>
    <w:rsid w:val="00F04D64"/>
    <w:rsid w:val="00F057E0"/>
    <w:rsid w:val="00F10ADF"/>
    <w:rsid w:val="00F13F47"/>
    <w:rsid w:val="00F16EBD"/>
    <w:rsid w:val="00F214D5"/>
    <w:rsid w:val="00F229EF"/>
    <w:rsid w:val="00F22C62"/>
    <w:rsid w:val="00F24A31"/>
    <w:rsid w:val="00F24D0A"/>
    <w:rsid w:val="00F24E4E"/>
    <w:rsid w:val="00F25B7F"/>
    <w:rsid w:val="00F26059"/>
    <w:rsid w:val="00F2608D"/>
    <w:rsid w:val="00F313B0"/>
    <w:rsid w:val="00F33E73"/>
    <w:rsid w:val="00F343DA"/>
    <w:rsid w:val="00F359F8"/>
    <w:rsid w:val="00F3652C"/>
    <w:rsid w:val="00F366F4"/>
    <w:rsid w:val="00F36803"/>
    <w:rsid w:val="00F376A8"/>
    <w:rsid w:val="00F43D1A"/>
    <w:rsid w:val="00F43E8A"/>
    <w:rsid w:val="00F45528"/>
    <w:rsid w:val="00F46AA1"/>
    <w:rsid w:val="00F47235"/>
    <w:rsid w:val="00F47A9A"/>
    <w:rsid w:val="00F50554"/>
    <w:rsid w:val="00F51771"/>
    <w:rsid w:val="00F53F91"/>
    <w:rsid w:val="00F5555E"/>
    <w:rsid w:val="00F56255"/>
    <w:rsid w:val="00F57321"/>
    <w:rsid w:val="00F57CD4"/>
    <w:rsid w:val="00F613E9"/>
    <w:rsid w:val="00F6168C"/>
    <w:rsid w:val="00F61A72"/>
    <w:rsid w:val="00F62D1F"/>
    <w:rsid w:val="00F6371E"/>
    <w:rsid w:val="00F63E0E"/>
    <w:rsid w:val="00F65951"/>
    <w:rsid w:val="00F65DE4"/>
    <w:rsid w:val="00F66F13"/>
    <w:rsid w:val="00F74073"/>
    <w:rsid w:val="00F74AC4"/>
    <w:rsid w:val="00F74D7D"/>
    <w:rsid w:val="00F7614E"/>
    <w:rsid w:val="00F76516"/>
    <w:rsid w:val="00F77453"/>
    <w:rsid w:val="00F80F82"/>
    <w:rsid w:val="00F81A04"/>
    <w:rsid w:val="00F834E2"/>
    <w:rsid w:val="00F84116"/>
    <w:rsid w:val="00F8524E"/>
    <w:rsid w:val="00F8778E"/>
    <w:rsid w:val="00F878D3"/>
    <w:rsid w:val="00F87D67"/>
    <w:rsid w:val="00F87D80"/>
    <w:rsid w:val="00F90E04"/>
    <w:rsid w:val="00F9189A"/>
    <w:rsid w:val="00F928C5"/>
    <w:rsid w:val="00F934E0"/>
    <w:rsid w:val="00F93A95"/>
    <w:rsid w:val="00F970A1"/>
    <w:rsid w:val="00FA1759"/>
    <w:rsid w:val="00FA277B"/>
    <w:rsid w:val="00FB06ED"/>
    <w:rsid w:val="00FB76DB"/>
    <w:rsid w:val="00FC084D"/>
    <w:rsid w:val="00FC0F4A"/>
    <w:rsid w:val="00FC36AB"/>
    <w:rsid w:val="00FC3F21"/>
    <w:rsid w:val="00FC5A5F"/>
    <w:rsid w:val="00FC6AB4"/>
    <w:rsid w:val="00FC6EC6"/>
    <w:rsid w:val="00FD09E3"/>
    <w:rsid w:val="00FD1727"/>
    <w:rsid w:val="00FD1D6B"/>
    <w:rsid w:val="00FD2798"/>
    <w:rsid w:val="00FD2A72"/>
    <w:rsid w:val="00FD5819"/>
    <w:rsid w:val="00FE15EB"/>
    <w:rsid w:val="00FE34C3"/>
    <w:rsid w:val="00FE4F08"/>
    <w:rsid w:val="00FE5C0A"/>
    <w:rsid w:val="00FE64E4"/>
    <w:rsid w:val="00FF0D35"/>
    <w:rsid w:val="00FF0DF2"/>
    <w:rsid w:val="00FF3A5A"/>
    <w:rsid w:val="00FF5128"/>
    <w:rsid w:val="00FF650B"/>
    <w:rsid w:val="00FF6EDD"/>
    <w:rsid w:val="2D65321B"/>
    <w:rsid w:val="5692BE9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fill="f" fillcolor="white" stroke="f">
      <v:fill color="white" on="f"/>
      <v:stroke on="f"/>
    </o:shapedefaults>
    <o:shapelayout v:ext="edit">
      <o:idmap v:ext="edit" data="1"/>
    </o:shapelayout>
  </w:shapeDefaults>
  <w:decimalSymbol w:val=","/>
  <w:listSeparator w:val=";"/>
  <w14:docId w14:val="3F0BAE3B"/>
  <w15:docId w15:val="{DE660FD9-5BAC-4197-AD42-384334BA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lang w:val="nl-NL" w:eastAsia="nl-NL"/>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lang w:val="nl-NL" w:eastAsia="nl-NL"/>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lang w:val="nl-NL" w:eastAsia="nl-NL"/>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lang w:val="nl-NL" w:eastAsia="nl-NL"/>
    </w:rPr>
  </w:style>
  <w:style w:type="paragraph" w:styleId="ListParagraph">
    <w:name w:val="List Paragraph"/>
    <w:basedOn w:val="Normal"/>
    <w:uiPriority w:val="34"/>
    <w:qFormat/>
    <w:rsid w:val="009138C5"/>
    <w:pPr>
      <w:ind w:left="720"/>
      <w:contextualSpacing/>
    </w:pPr>
  </w:style>
  <w:style w:type="character" w:styleId="Strong">
    <w:name w:val="Strong"/>
    <w:basedOn w:val="DefaultParagraphFont"/>
    <w:uiPriority w:val="22"/>
    <w:qFormat/>
    <w:rsid w:val="0047198F"/>
    <w:rPr>
      <w:b/>
      <w:bCs/>
    </w:rPr>
  </w:style>
  <w:style w:type="character" w:customStyle="1" w:styleId="A6">
    <w:name w:val="A6"/>
    <w:uiPriority w:val="99"/>
    <w:rsid w:val="00CC4DD8"/>
    <w:rPr>
      <w:rFonts w:cs="Akzidenz Grotesk BE Light"/>
      <w:color w:val="221E1F"/>
      <w:sz w:val="20"/>
      <w:szCs w:val="20"/>
    </w:rPr>
  </w:style>
  <w:style w:type="character" w:customStyle="1" w:styleId="FooterChar">
    <w:name w:val="Footer Char"/>
    <w:basedOn w:val="DefaultParagraphFont"/>
    <w:link w:val="Footer"/>
    <w:uiPriority w:val="99"/>
    <w:rsid w:val="008706CB"/>
    <w:rPr>
      <w:rFonts w:ascii="Verdana" w:hAnsi="Verdana"/>
      <w:sz w:val="1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43994">
      <w:bodyDiv w:val="1"/>
      <w:marLeft w:val="0"/>
      <w:marRight w:val="0"/>
      <w:marTop w:val="0"/>
      <w:marBottom w:val="0"/>
      <w:divBdr>
        <w:top w:val="none" w:sz="0" w:space="0" w:color="auto"/>
        <w:left w:val="none" w:sz="0" w:space="0" w:color="auto"/>
        <w:bottom w:val="none" w:sz="0" w:space="0" w:color="auto"/>
        <w:right w:val="none" w:sz="0" w:space="0" w:color="auto"/>
      </w:divBdr>
    </w:div>
    <w:div w:id="88082819">
      <w:bodyDiv w:val="1"/>
      <w:marLeft w:val="0"/>
      <w:marRight w:val="0"/>
      <w:marTop w:val="0"/>
      <w:marBottom w:val="0"/>
      <w:divBdr>
        <w:top w:val="none" w:sz="0" w:space="0" w:color="auto"/>
        <w:left w:val="none" w:sz="0" w:space="0" w:color="auto"/>
        <w:bottom w:val="none" w:sz="0" w:space="0" w:color="auto"/>
        <w:right w:val="none" w:sz="0" w:space="0" w:color="auto"/>
      </w:divBdr>
      <w:divsChild>
        <w:div w:id="551320">
          <w:marLeft w:val="0"/>
          <w:marRight w:val="0"/>
          <w:marTop w:val="0"/>
          <w:marBottom w:val="0"/>
          <w:divBdr>
            <w:top w:val="none" w:sz="0" w:space="0" w:color="auto"/>
            <w:left w:val="none" w:sz="0" w:space="0" w:color="auto"/>
            <w:bottom w:val="none" w:sz="0" w:space="0" w:color="auto"/>
            <w:right w:val="none" w:sz="0" w:space="0" w:color="auto"/>
          </w:divBdr>
          <w:divsChild>
            <w:div w:id="42291939">
              <w:marLeft w:val="0"/>
              <w:marRight w:val="0"/>
              <w:marTop w:val="0"/>
              <w:marBottom w:val="0"/>
              <w:divBdr>
                <w:top w:val="none" w:sz="0" w:space="0" w:color="auto"/>
                <w:left w:val="none" w:sz="0" w:space="0" w:color="auto"/>
                <w:bottom w:val="none" w:sz="0" w:space="0" w:color="auto"/>
                <w:right w:val="none" w:sz="0" w:space="0" w:color="auto"/>
              </w:divBdr>
              <w:divsChild>
                <w:div w:id="1759399344">
                  <w:marLeft w:val="0"/>
                  <w:marRight w:val="0"/>
                  <w:marTop w:val="0"/>
                  <w:marBottom w:val="0"/>
                  <w:divBdr>
                    <w:top w:val="none" w:sz="0" w:space="0" w:color="auto"/>
                    <w:left w:val="none" w:sz="0" w:space="0" w:color="auto"/>
                    <w:bottom w:val="none" w:sz="0" w:space="0" w:color="auto"/>
                    <w:right w:val="none" w:sz="0" w:space="0" w:color="auto"/>
                  </w:divBdr>
                  <w:divsChild>
                    <w:div w:id="666249318">
                      <w:marLeft w:val="0"/>
                      <w:marRight w:val="0"/>
                      <w:marTop w:val="0"/>
                      <w:marBottom w:val="0"/>
                      <w:divBdr>
                        <w:top w:val="none" w:sz="0" w:space="0" w:color="auto"/>
                        <w:left w:val="none" w:sz="0" w:space="0" w:color="auto"/>
                        <w:bottom w:val="none" w:sz="0" w:space="0" w:color="auto"/>
                        <w:right w:val="none" w:sz="0" w:space="0" w:color="auto"/>
                      </w:divBdr>
                      <w:divsChild>
                        <w:div w:id="16891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051365">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495676">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941573449">
      <w:bodyDiv w:val="1"/>
      <w:marLeft w:val="0"/>
      <w:marRight w:val="0"/>
      <w:marTop w:val="0"/>
      <w:marBottom w:val="0"/>
      <w:divBdr>
        <w:top w:val="none" w:sz="0" w:space="0" w:color="auto"/>
        <w:left w:val="none" w:sz="0" w:space="0" w:color="auto"/>
        <w:bottom w:val="none" w:sz="0" w:space="0" w:color="auto"/>
        <w:right w:val="none" w:sz="0" w:space="0" w:color="auto"/>
      </w:divBdr>
    </w:div>
    <w:div w:id="1242327447">
      <w:bodyDiv w:val="1"/>
      <w:marLeft w:val="0"/>
      <w:marRight w:val="0"/>
      <w:marTop w:val="0"/>
      <w:marBottom w:val="0"/>
      <w:divBdr>
        <w:top w:val="none" w:sz="0" w:space="0" w:color="auto"/>
        <w:left w:val="none" w:sz="0" w:space="0" w:color="auto"/>
        <w:bottom w:val="none" w:sz="0" w:space="0" w:color="auto"/>
        <w:right w:val="none" w:sz="0" w:space="0" w:color="auto"/>
      </w:divBdr>
    </w:div>
    <w:div w:id="1615556748">
      <w:bodyDiv w:val="1"/>
      <w:marLeft w:val="0"/>
      <w:marRight w:val="0"/>
      <w:marTop w:val="0"/>
      <w:marBottom w:val="0"/>
      <w:divBdr>
        <w:top w:val="none" w:sz="0" w:space="0" w:color="auto"/>
        <w:left w:val="none" w:sz="0" w:space="0" w:color="auto"/>
        <w:bottom w:val="none" w:sz="0" w:space="0" w:color="auto"/>
        <w:right w:val="none" w:sz="0" w:space="0" w:color="auto"/>
      </w:divBdr>
    </w:div>
    <w:div w:id="1845625817">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D9DFF-DF45-4AE6-8EB9-030189074E4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F7E281B-301D-43C8-AD2B-5074900FC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4.xml><?xml version="1.0" encoding="utf-8"?>
<ds:datastoreItem xmlns:ds="http://schemas.openxmlformats.org/officeDocument/2006/customXml" ds:itemID="{5FBAA357-E5DE-4DF1-AB92-9B966E1CC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736D0611</Template>
  <TotalTime>41</TotalTime>
  <Pages>19</Pages>
  <Words>6315</Words>
  <Characters>34737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Algemene Aanwijzingen</vt:lpstr>
    </vt:vector>
  </TitlesOfParts>
  <Company>Ministerie van Buitenlandse Zaken</Company>
  <LinksUpToDate>false</LinksUpToDate>
  <CharactersWithSpaces>40971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Hengelaar, Dieke</cp:lastModifiedBy>
  <cp:revision>7</cp:revision>
  <cp:lastPrinted>2017-04-26T09:36:00Z</cp:lastPrinted>
  <dcterms:created xsi:type="dcterms:W3CDTF">2017-08-14T13:55:00Z</dcterms:created>
  <dcterms:modified xsi:type="dcterms:W3CDTF">2017-08-25T14:03:00Z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