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F78E8E" w14:textId="77777777" w:rsidR="009A0FF6" w:rsidRDefault="009A0FF6" w:rsidP="002F6CE5">
      <w:pPr>
        <w:ind w:left="2292" w:hanging="2292"/>
      </w:pPr>
      <w:bookmarkStart w:id="0" w:name="_Toc209500354"/>
      <w:bookmarkStart w:id="1" w:name="_Toc219275270"/>
      <w:bookmarkStart w:id="2" w:name="_Toc219275340"/>
      <w:bookmarkStart w:id="3" w:name="_Toc219518985"/>
    </w:p>
    <w:p w14:paraId="1D24D254" w14:textId="77777777" w:rsidR="00E40793" w:rsidRDefault="00E40793" w:rsidP="002F6CE5">
      <w:pPr>
        <w:ind w:left="2292" w:hanging="2292"/>
      </w:pPr>
    </w:p>
    <w:p w14:paraId="28A593FE" w14:textId="77777777" w:rsidR="008720EB" w:rsidRPr="00097FC7" w:rsidRDefault="008720EB" w:rsidP="002F6CE5">
      <w:pPr>
        <w:ind w:left="2292" w:hanging="2292"/>
        <w:rPr>
          <w:lang w:val="en-US"/>
        </w:rPr>
      </w:pPr>
      <w:r w:rsidRPr="00097FC7">
        <w:rPr>
          <w:lang w:val="en-US"/>
        </w:rPr>
        <w:t xml:space="preserve">SCORECARD </w:t>
      </w:r>
      <w:r w:rsidR="00846579" w:rsidRPr="00097FC7">
        <w:rPr>
          <w:lang w:val="en-US"/>
        </w:rPr>
        <w:tab/>
        <w:t>World Health Organization (WHO)</w:t>
      </w:r>
    </w:p>
    <w:p w14:paraId="732B48F1" w14:textId="77777777" w:rsidR="008720EB" w:rsidRPr="00097FC7" w:rsidRDefault="008720EB" w:rsidP="002F6CE5">
      <w:pPr>
        <w:ind w:left="2292" w:hanging="2292"/>
        <w:rPr>
          <w:lang w:val="en-US"/>
        </w:rPr>
      </w:pPr>
    </w:p>
    <w:p w14:paraId="5E9A454D" w14:textId="77777777" w:rsidR="009B57FB" w:rsidRDefault="00557E8C" w:rsidP="002F6CE5">
      <w:pPr>
        <w:ind w:left="2292" w:hanging="2292"/>
      </w:pPr>
      <w:r>
        <w:fldChar w:fldCharType="begin"/>
      </w:r>
      <w:r>
        <w:instrText xml:space="preserve"> DOCPROPERTY  L_CONTACT  \* MERGEFORMAT </w:instrText>
      </w:r>
      <w:r>
        <w:fldChar w:fldCharType="separate"/>
      </w:r>
      <w:r w:rsidR="007B16C0">
        <w:t>Opgesteld door</w:t>
      </w:r>
      <w:r>
        <w:fldChar w:fldCharType="end"/>
      </w:r>
      <w:r w:rsidR="002F6CE5" w:rsidRPr="00785F18">
        <w:tab/>
      </w:r>
      <w:r w:rsidR="003A65E8">
        <w:t xml:space="preserve">Directie </w:t>
      </w:r>
      <w:r w:rsidR="00460E7F">
        <w:t>Multilaterale Instellingen en Mensenrechten</w:t>
      </w:r>
    </w:p>
    <w:p w14:paraId="3CD032F0" w14:textId="40D8186A" w:rsidR="002F6CE5" w:rsidRPr="00785F18" w:rsidRDefault="002F6CE5" w:rsidP="002F6CE5">
      <w:pPr>
        <w:ind w:left="2292" w:hanging="2292"/>
      </w:pPr>
      <w:r w:rsidRPr="00785F18">
        <w:br/>
      </w:r>
    </w:p>
    <w:tbl>
      <w:tblPr>
        <w:tblW w:w="0" w:type="auto"/>
        <w:tblLook w:val="01E0" w:firstRow="1" w:lastRow="1" w:firstColumn="1" w:lastColumn="1" w:noHBand="0" w:noVBand="0"/>
      </w:tblPr>
      <w:tblGrid>
        <w:gridCol w:w="2246"/>
        <w:gridCol w:w="5480"/>
      </w:tblGrid>
      <w:tr w:rsidR="002F6CE5" w:rsidRPr="00785F18" w14:paraId="30BF6A26" w14:textId="77777777" w:rsidTr="008F1B70">
        <w:tc>
          <w:tcPr>
            <w:tcW w:w="2268" w:type="dxa"/>
            <w:shd w:val="clear" w:color="auto" w:fill="auto"/>
          </w:tcPr>
          <w:p w14:paraId="1A3EE90C" w14:textId="5080BD66" w:rsidR="002F6CE5" w:rsidRPr="00785F18" w:rsidRDefault="00557E8C" w:rsidP="00784329">
            <w:r>
              <w:fldChar w:fldCharType="begin"/>
            </w:r>
            <w:r>
              <w:instrText xml:space="preserve"> DOCPROPERTY  L_AUTHOR  \* MERGEFORMAT </w:instrText>
            </w:r>
            <w:r>
              <w:fldChar w:fldCharType="separate"/>
            </w:r>
            <w:r w:rsidR="007B16C0">
              <w:t>Redacteur</w:t>
            </w:r>
            <w:r w:rsidR="00784329">
              <w:t>en</w:t>
            </w:r>
            <w:r w:rsidR="007B16C0">
              <w:t>:</w:t>
            </w:r>
            <w:r>
              <w:fldChar w:fldCharType="end"/>
            </w:r>
          </w:p>
        </w:tc>
        <w:tc>
          <w:tcPr>
            <w:tcW w:w="5598" w:type="dxa"/>
            <w:shd w:val="clear" w:color="auto" w:fill="auto"/>
          </w:tcPr>
          <w:p w14:paraId="7A7F2C40" w14:textId="10C558C0" w:rsidR="002F6CE5" w:rsidRDefault="001F29D9" w:rsidP="00221806">
            <w:r>
              <w:t xml:space="preserve">Tamar </w:t>
            </w:r>
            <w:proofErr w:type="spellStart"/>
            <w:r>
              <w:t>Versloot</w:t>
            </w:r>
            <w:proofErr w:type="spellEnd"/>
            <w:r w:rsidR="00EB0750">
              <w:t xml:space="preserve"> &amp;</w:t>
            </w:r>
            <w:r w:rsidR="00E82792">
              <w:t xml:space="preserve"> Audrey Hobbelen</w:t>
            </w:r>
          </w:p>
          <w:p w14:paraId="7BD18A9C" w14:textId="46B016AB" w:rsidR="002F6CE5" w:rsidRPr="00785F18" w:rsidRDefault="00784329" w:rsidP="00A60E92">
            <w:r>
              <w:t>A</w:t>
            </w:r>
            <w:r w:rsidR="00A60E92">
              <w:t>fgestemd met PVGEV, DMM/CU, DSO</w:t>
            </w:r>
            <w:r w:rsidR="0015051B">
              <w:t>,</w:t>
            </w:r>
            <w:r w:rsidR="00A60E92">
              <w:t xml:space="preserve"> </w:t>
            </w:r>
            <w:r w:rsidR="00C36713">
              <w:t>VWS/IZ</w:t>
            </w:r>
          </w:p>
        </w:tc>
      </w:tr>
    </w:tbl>
    <w:p w14:paraId="3A5807CD" w14:textId="77777777" w:rsidR="00991C2E" w:rsidRDefault="00991C2E" w:rsidP="00991C2E"/>
    <w:p w14:paraId="5E300EB3" w14:textId="77777777" w:rsidR="00991C2E" w:rsidRDefault="00991C2E" w:rsidP="00991C2E"/>
    <w:p w14:paraId="74B0D0F3" w14:textId="77777777" w:rsidR="00991C2E" w:rsidRDefault="00991C2E" w:rsidP="00991C2E"/>
    <w:p w14:paraId="3E4CF802" w14:textId="77777777" w:rsidR="00326699" w:rsidRDefault="00326699" w:rsidP="00326699">
      <w:pPr>
        <w:spacing w:line="240" w:lineRule="auto"/>
      </w:pPr>
    </w:p>
    <w:p w14:paraId="29D336C6" w14:textId="77777777" w:rsidR="00326699" w:rsidRDefault="00326699" w:rsidP="00326699">
      <w:pPr>
        <w:spacing w:line="240" w:lineRule="auto"/>
      </w:pPr>
    </w:p>
    <w:p w14:paraId="26E91FCD" w14:textId="77777777" w:rsidR="00326699" w:rsidRDefault="00326699" w:rsidP="00326699">
      <w:pPr>
        <w:spacing w:line="240" w:lineRule="auto"/>
        <w:sectPr w:rsidR="00326699" w:rsidSect="007D6565">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code="9"/>
          <w:pgMar w:top="2520" w:right="960" w:bottom="1080" w:left="3220" w:header="200" w:footer="660" w:gutter="0"/>
          <w:cols w:space="708"/>
          <w:titlePg/>
          <w:docGrid w:linePitch="360"/>
        </w:sectPr>
      </w:pPr>
    </w:p>
    <w:bookmarkEnd w:id="0"/>
    <w:bookmarkEnd w:id="1"/>
    <w:bookmarkEnd w:id="2"/>
    <w:bookmarkEnd w:id="3"/>
    <w:p w14:paraId="5875B517" w14:textId="77777777" w:rsidR="00A908F9" w:rsidRDefault="00A908F9" w:rsidP="00A908F9">
      <w:pPr>
        <w:pStyle w:val="Kop-Inhoudsopgave"/>
      </w:pPr>
    </w:p>
    <w:p w14:paraId="36B12758" w14:textId="77777777" w:rsidR="00A908F9" w:rsidRDefault="00A908F9" w:rsidP="00A908F9">
      <w:pPr>
        <w:pStyle w:val="Kop-Inhoudsopgave"/>
      </w:pPr>
    </w:p>
    <w:p w14:paraId="625B1AA4" w14:textId="77777777" w:rsidR="00A908F9" w:rsidRDefault="008720EB" w:rsidP="00A908F9">
      <w:pPr>
        <w:pStyle w:val="Kop-Inhoudsopgave"/>
      </w:pPr>
      <w:r>
        <w:br w:type="page"/>
      </w:r>
      <w:r w:rsidR="00557E8C">
        <w:lastRenderedPageBreak/>
        <w:fldChar w:fldCharType="begin"/>
      </w:r>
      <w:r w:rsidR="00557E8C">
        <w:instrText xml:space="preserve"> DOCPROPERTY  L_TOC  \* MERGEFORMAT </w:instrText>
      </w:r>
      <w:r w:rsidR="00557E8C">
        <w:fldChar w:fldCharType="separate"/>
      </w:r>
      <w:bookmarkStart w:id="11" w:name="_Toc491421091"/>
      <w:bookmarkStart w:id="12" w:name="_Toc287446465"/>
      <w:bookmarkStart w:id="13" w:name="_Toc287454445"/>
      <w:r w:rsidR="007B16C0">
        <w:t>Inhoudsopgave</w:t>
      </w:r>
      <w:bookmarkEnd w:id="11"/>
      <w:bookmarkEnd w:id="12"/>
      <w:bookmarkEnd w:id="13"/>
      <w:r w:rsidR="00557E8C">
        <w:fldChar w:fldCharType="end"/>
      </w:r>
    </w:p>
    <w:p w14:paraId="26515E2C" w14:textId="76D6C96D" w:rsidR="00A33725" w:rsidRDefault="006F712A">
      <w:pPr>
        <w:pStyle w:val="TOC1"/>
        <w:tabs>
          <w:tab w:val="right" w:leader="dot" w:pos="7717"/>
        </w:tabs>
        <w:rPr>
          <w:rFonts w:asciiTheme="minorHAnsi" w:eastAsiaTheme="minorEastAsia" w:hAnsiTheme="minorHAnsi" w:cstheme="minorBidi"/>
          <w:noProof/>
          <w:sz w:val="22"/>
          <w:szCs w:val="22"/>
        </w:rPr>
      </w:pPr>
      <w:r w:rsidRPr="00785F18">
        <w:fldChar w:fldCharType="begin"/>
      </w:r>
      <w:r w:rsidR="006B2292" w:rsidRPr="00785F18">
        <w:instrText xml:space="preserve"> TOC \t "Heading 1;2;Heading 2;3;Heading 3;4;Kop-Inhoudsopgave;1;Kop zonder nummering;1;Subtitle;2;Title;1" </w:instrText>
      </w:r>
      <w:r w:rsidRPr="00785F18">
        <w:fldChar w:fldCharType="separate"/>
      </w:r>
      <w:r w:rsidR="00A33725">
        <w:rPr>
          <w:noProof/>
        </w:rPr>
        <w:t>Inhoudsopgave</w:t>
      </w:r>
      <w:r w:rsidR="00A33725">
        <w:rPr>
          <w:noProof/>
        </w:rPr>
        <w:tab/>
      </w:r>
      <w:r w:rsidR="00A33725">
        <w:rPr>
          <w:noProof/>
        </w:rPr>
        <w:fldChar w:fldCharType="begin"/>
      </w:r>
      <w:r w:rsidR="00A33725">
        <w:rPr>
          <w:noProof/>
        </w:rPr>
        <w:instrText xml:space="preserve"> PAGEREF _Toc491421091 \h </w:instrText>
      </w:r>
      <w:r w:rsidR="00A33725">
        <w:rPr>
          <w:noProof/>
        </w:rPr>
      </w:r>
      <w:r w:rsidR="00A33725">
        <w:rPr>
          <w:noProof/>
        </w:rPr>
        <w:fldChar w:fldCharType="separate"/>
      </w:r>
      <w:r w:rsidR="00A33725">
        <w:rPr>
          <w:noProof/>
        </w:rPr>
        <w:t>2</w:t>
      </w:r>
      <w:r w:rsidR="00A33725">
        <w:rPr>
          <w:noProof/>
        </w:rPr>
        <w:fldChar w:fldCharType="end"/>
      </w:r>
    </w:p>
    <w:p w14:paraId="1A967330" w14:textId="544C8064" w:rsidR="00A33725" w:rsidRDefault="00A33725">
      <w:pPr>
        <w:pStyle w:val="TOC2"/>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Samenvatting</w:t>
      </w:r>
      <w:r>
        <w:tab/>
      </w:r>
      <w:r>
        <w:fldChar w:fldCharType="begin"/>
      </w:r>
      <w:r>
        <w:instrText xml:space="preserve"> PAGEREF _Toc491421092 \h </w:instrText>
      </w:r>
      <w:r>
        <w:fldChar w:fldCharType="separate"/>
      </w:r>
      <w:r>
        <w:t>3</w:t>
      </w:r>
      <w:r>
        <w:fldChar w:fldCharType="end"/>
      </w:r>
    </w:p>
    <w:p w14:paraId="18CDAA91" w14:textId="7123450C" w:rsidR="00A33725" w:rsidRDefault="00A33725">
      <w:pPr>
        <w:pStyle w:val="TOC3"/>
        <w:rPr>
          <w:rFonts w:asciiTheme="minorHAnsi" w:eastAsiaTheme="minorEastAsia" w:hAnsiTheme="minorHAnsi" w:cstheme="minorBidi"/>
          <w:sz w:val="22"/>
          <w:szCs w:val="22"/>
        </w:rPr>
      </w:pPr>
      <w:r>
        <w:t xml:space="preserve">1.1 </w:t>
      </w:r>
      <w:r>
        <w:rPr>
          <w:rFonts w:asciiTheme="minorHAnsi" w:eastAsiaTheme="minorEastAsia" w:hAnsiTheme="minorHAnsi" w:cstheme="minorBidi"/>
          <w:sz w:val="22"/>
          <w:szCs w:val="22"/>
        </w:rPr>
        <w:tab/>
      </w:r>
      <w:r>
        <w:t>Institutionele aspecten en functioneren</w:t>
      </w:r>
      <w:r>
        <w:tab/>
      </w:r>
      <w:r>
        <w:fldChar w:fldCharType="begin"/>
      </w:r>
      <w:r>
        <w:instrText xml:space="preserve"> PAGEREF _Toc491421093 \h </w:instrText>
      </w:r>
      <w:r>
        <w:fldChar w:fldCharType="separate"/>
      </w:r>
      <w:r>
        <w:t>3</w:t>
      </w:r>
      <w:r>
        <w:fldChar w:fldCharType="end"/>
      </w:r>
    </w:p>
    <w:p w14:paraId="25154402" w14:textId="5B097CB9" w:rsidR="00A33725" w:rsidRDefault="00A33725">
      <w:pPr>
        <w:pStyle w:val="TOC3"/>
        <w:rPr>
          <w:rFonts w:asciiTheme="minorHAnsi" w:eastAsiaTheme="minorEastAsia" w:hAnsiTheme="minorHAnsi" w:cstheme="minorBidi"/>
          <w:sz w:val="22"/>
          <w:szCs w:val="22"/>
        </w:rPr>
      </w:pPr>
      <w:r>
        <w:t xml:space="preserve">1.2 </w:t>
      </w:r>
      <w:r>
        <w:rPr>
          <w:rFonts w:asciiTheme="minorHAnsi" w:eastAsiaTheme="minorEastAsia" w:hAnsiTheme="minorHAnsi" w:cstheme="minorBidi"/>
          <w:sz w:val="22"/>
          <w:szCs w:val="22"/>
        </w:rPr>
        <w:tab/>
      </w:r>
      <w:r>
        <w:t>Beleidsrelevantie</w:t>
      </w:r>
      <w:r>
        <w:tab/>
      </w:r>
      <w:r>
        <w:fldChar w:fldCharType="begin"/>
      </w:r>
      <w:r>
        <w:instrText xml:space="preserve"> PAGEREF _Toc491421094 \h </w:instrText>
      </w:r>
      <w:r>
        <w:fldChar w:fldCharType="separate"/>
      </w:r>
      <w:r>
        <w:t>3</w:t>
      </w:r>
      <w:r>
        <w:fldChar w:fldCharType="end"/>
      </w:r>
    </w:p>
    <w:p w14:paraId="3BDED792" w14:textId="63133FEE" w:rsidR="00A33725" w:rsidRDefault="00A33725">
      <w:pPr>
        <w:pStyle w:val="TOC2"/>
        <w:rPr>
          <w:rFonts w:asciiTheme="minorHAnsi" w:eastAsiaTheme="minorEastAsia" w:hAnsiTheme="minorHAnsi" w:cstheme="minorBidi"/>
          <w:b w:val="0"/>
          <w:sz w:val="22"/>
          <w:szCs w:val="22"/>
        </w:rPr>
      </w:pPr>
      <w:r>
        <w:t xml:space="preserve">2 </w:t>
      </w:r>
      <w:r>
        <w:rPr>
          <w:rFonts w:asciiTheme="minorHAnsi" w:eastAsiaTheme="minorEastAsia" w:hAnsiTheme="minorHAnsi" w:cstheme="minorBidi"/>
          <w:b w:val="0"/>
          <w:sz w:val="22"/>
          <w:szCs w:val="22"/>
        </w:rPr>
        <w:tab/>
      </w:r>
      <w:r>
        <w:t>Inleiding</w:t>
      </w:r>
      <w:r>
        <w:tab/>
      </w:r>
      <w:r>
        <w:fldChar w:fldCharType="begin"/>
      </w:r>
      <w:r>
        <w:instrText xml:space="preserve"> PAGEREF _Toc491421095 \h </w:instrText>
      </w:r>
      <w:r>
        <w:fldChar w:fldCharType="separate"/>
      </w:r>
      <w:r>
        <w:t>5</w:t>
      </w:r>
      <w:r>
        <w:fldChar w:fldCharType="end"/>
      </w:r>
    </w:p>
    <w:p w14:paraId="6F00C385" w14:textId="6F928CA6" w:rsidR="00A33725" w:rsidRDefault="00A33725">
      <w:pPr>
        <w:pStyle w:val="TOC2"/>
        <w:rPr>
          <w:rFonts w:asciiTheme="minorHAnsi" w:eastAsiaTheme="minorEastAsia" w:hAnsiTheme="minorHAnsi" w:cstheme="minorBidi"/>
          <w:b w:val="0"/>
          <w:sz w:val="22"/>
          <w:szCs w:val="22"/>
        </w:rPr>
      </w:pPr>
      <w:r>
        <w:t xml:space="preserve">3 </w:t>
      </w:r>
      <w:r>
        <w:rPr>
          <w:rFonts w:asciiTheme="minorHAnsi" w:eastAsiaTheme="minorEastAsia" w:hAnsiTheme="minorHAnsi" w:cstheme="minorBidi"/>
          <w:b w:val="0"/>
          <w:sz w:val="22"/>
          <w:szCs w:val="22"/>
        </w:rPr>
        <w:tab/>
      </w:r>
      <w:r>
        <w:t>Algemene achtergrond</w:t>
      </w:r>
      <w:r>
        <w:tab/>
      </w:r>
      <w:r>
        <w:fldChar w:fldCharType="begin"/>
      </w:r>
      <w:r>
        <w:instrText xml:space="preserve"> PAGEREF _Toc491421096 \h </w:instrText>
      </w:r>
      <w:r>
        <w:fldChar w:fldCharType="separate"/>
      </w:r>
      <w:r>
        <w:t>6</w:t>
      </w:r>
      <w:r>
        <w:fldChar w:fldCharType="end"/>
      </w:r>
    </w:p>
    <w:p w14:paraId="0B59AA19" w14:textId="4B32C2DC" w:rsidR="00A33725" w:rsidRDefault="00A33725">
      <w:pPr>
        <w:pStyle w:val="TOC3"/>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Doelstelling en toegevoegde waarde</w:t>
      </w:r>
      <w:r>
        <w:tab/>
      </w:r>
      <w:r>
        <w:fldChar w:fldCharType="begin"/>
      </w:r>
      <w:r>
        <w:instrText xml:space="preserve"> PAGEREF _Toc491421097 \h </w:instrText>
      </w:r>
      <w:r>
        <w:fldChar w:fldCharType="separate"/>
      </w:r>
      <w:r>
        <w:t>6</w:t>
      </w:r>
      <w:r>
        <w:fldChar w:fldCharType="end"/>
      </w:r>
    </w:p>
    <w:p w14:paraId="09DF4066" w14:textId="10F4C5D3" w:rsidR="00A33725" w:rsidRDefault="00A33725">
      <w:pPr>
        <w:pStyle w:val="TOC3"/>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Organisatie, werkwijze en activiteiten</w:t>
      </w:r>
      <w:r>
        <w:tab/>
      </w:r>
      <w:r>
        <w:fldChar w:fldCharType="begin"/>
      </w:r>
      <w:r>
        <w:instrText xml:space="preserve"> PAGEREF _Toc491421098 \h </w:instrText>
      </w:r>
      <w:r>
        <w:fldChar w:fldCharType="separate"/>
      </w:r>
      <w:r>
        <w:t>6</w:t>
      </w:r>
      <w:r>
        <w:fldChar w:fldCharType="end"/>
      </w:r>
    </w:p>
    <w:p w14:paraId="54B64F30" w14:textId="2DFDC6F4" w:rsidR="00A33725" w:rsidRDefault="00A33725">
      <w:pPr>
        <w:pStyle w:val="TOC3"/>
        <w:rPr>
          <w:rFonts w:asciiTheme="minorHAnsi" w:eastAsiaTheme="minorEastAsia" w:hAnsiTheme="minorHAnsi" w:cstheme="minorBidi"/>
          <w:sz w:val="22"/>
          <w:szCs w:val="22"/>
        </w:rPr>
      </w:pPr>
      <w:r>
        <w:t xml:space="preserve">3.3 </w:t>
      </w:r>
      <w:r>
        <w:rPr>
          <w:rFonts w:asciiTheme="minorHAnsi" w:eastAsiaTheme="minorEastAsia" w:hAnsiTheme="minorHAnsi" w:cstheme="minorBidi"/>
          <w:sz w:val="22"/>
          <w:szCs w:val="22"/>
        </w:rPr>
        <w:tab/>
      </w:r>
      <w:r>
        <w:t>Nederlandse rol en invloed</w:t>
      </w:r>
      <w:r>
        <w:tab/>
      </w:r>
      <w:r>
        <w:fldChar w:fldCharType="begin"/>
      </w:r>
      <w:r>
        <w:instrText xml:space="preserve"> PAGEREF _Toc491421099 \h </w:instrText>
      </w:r>
      <w:r>
        <w:fldChar w:fldCharType="separate"/>
      </w:r>
      <w:r>
        <w:t>7</w:t>
      </w:r>
      <w:r>
        <w:fldChar w:fldCharType="end"/>
      </w:r>
    </w:p>
    <w:p w14:paraId="7108BEE0" w14:textId="58F32868" w:rsidR="00A33725" w:rsidRDefault="00A33725">
      <w:pPr>
        <w:pStyle w:val="TOC3"/>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Financiële omvang en bijdragen</w:t>
      </w:r>
      <w:r>
        <w:tab/>
      </w:r>
      <w:r>
        <w:fldChar w:fldCharType="begin"/>
      </w:r>
      <w:r>
        <w:instrText xml:space="preserve"> PAGEREF _Toc491421100 \h </w:instrText>
      </w:r>
      <w:r>
        <w:fldChar w:fldCharType="separate"/>
      </w:r>
      <w:r>
        <w:t>7</w:t>
      </w:r>
      <w:r>
        <w:fldChar w:fldCharType="end"/>
      </w:r>
    </w:p>
    <w:p w14:paraId="778F7A6D" w14:textId="7A7711AE" w:rsidR="00A33725" w:rsidRDefault="00A33725">
      <w:pPr>
        <w:pStyle w:val="TOC2"/>
        <w:rPr>
          <w:rFonts w:asciiTheme="minorHAnsi" w:eastAsiaTheme="minorEastAsia" w:hAnsiTheme="minorHAnsi" w:cstheme="minorBidi"/>
          <w:b w:val="0"/>
          <w:sz w:val="22"/>
          <w:szCs w:val="22"/>
        </w:rPr>
      </w:pPr>
      <w:r>
        <w:t xml:space="preserve">4 </w:t>
      </w:r>
      <w:r>
        <w:rPr>
          <w:rFonts w:asciiTheme="minorHAnsi" w:eastAsiaTheme="minorEastAsia" w:hAnsiTheme="minorHAnsi" w:cstheme="minorBidi"/>
          <w:b w:val="0"/>
          <w:sz w:val="22"/>
          <w:szCs w:val="22"/>
        </w:rPr>
        <w:tab/>
      </w:r>
      <w:r>
        <w:t>Institutionele aspecten en functioneren van de organisatie</w:t>
      </w:r>
      <w:r>
        <w:tab/>
      </w:r>
      <w:r>
        <w:fldChar w:fldCharType="begin"/>
      </w:r>
      <w:r>
        <w:instrText xml:space="preserve"> PAGEREF _Toc491421101 \h </w:instrText>
      </w:r>
      <w:r>
        <w:fldChar w:fldCharType="separate"/>
      </w:r>
      <w:r>
        <w:t>9</w:t>
      </w:r>
      <w:r>
        <w:fldChar w:fldCharType="end"/>
      </w:r>
    </w:p>
    <w:p w14:paraId="5658ACE5" w14:textId="6A13C5F2" w:rsidR="00A33725" w:rsidRDefault="00A33725">
      <w:pPr>
        <w:pStyle w:val="TOC3"/>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Strategie en verantwoording</w:t>
      </w:r>
      <w:r>
        <w:tab/>
      </w:r>
      <w:r>
        <w:fldChar w:fldCharType="begin"/>
      </w:r>
      <w:r>
        <w:instrText xml:space="preserve"> PAGEREF _Toc491421102 \h </w:instrText>
      </w:r>
      <w:r>
        <w:fldChar w:fldCharType="separate"/>
      </w:r>
      <w:r>
        <w:t>9</w:t>
      </w:r>
      <w:r>
        <w:fldChar w:fldCharType="end"/>
      </w:r>
    </w:p>
    <w:p w14:paraId="22EDAC6D" w14:textId="6C73DF3D" w:rsidR="00A33725" w:rsidRDefault="00A33725">
      <w:pPr>
        <w:pStyle w:val="TOC3"/>
        <w:rPr>
          <w:rFonts w:asciiTheme="minorHAnsi" w:eastAsiaTheme="minorEastAsia" w:hAnsiTheme="minorHAnsi" w:cstheme="minorBidi"/>
          <w:sz w:val="22"/>
          <w:szCs w:val="22"/>
        </w:rPr>
      </w:pPr>
      <w:r w:rsidRPr="00A33725">
        <w:t>4.2</w:t>
      </w:r>
      <w:r>
        <w:rPr>
          <w:rFonts w:asciiTheme="minorHAnsi" w:eastAsiaTheme="minorEastAsia" w:hAnsiTheme="minorHAnsi" w:cstheme="minorBidi"/>
          <w:sz w:val="22"/>
          <w:szCs w:val="22"/>
        </w:rPr>
        <w:tab/>
      </w:r>
      <w:r w:rsidRPr="00A33725">
        <w:t>Resultaatgerichtheid en transparantie</w:t>
      </w:r>
      <w:r>
        <w:tab/>
      </w:r>
      <w:r>
        <w:fldChar w:fldCharType="begin"/>
      </w:r>
      <w:r>
        <w:instrText xml:space="preserve"> PAGEREF _Toc491421103 \h </w:instrText>
      </w:r>
      <w:r>
        <w:fldChar w:fldCharType="separate"/>
      </w:r>
      <w:r>
        <w:t>10</w:t>
      </w:r>
      <w:r>
        <w:fldChar w:fldCharType="end"/>
      </w:r>
    </w:p>
    <w:p w14:paraId="12FCA645" w14:textId="4B496B2B" w:rsidR="00A33725" w:rsidRDefault="00A33725">
      <w:pPr>
        <w:pStyle w:val="TOC3"/>
        <w:rPr>
          <w:rFonts w:asciiTheme="minorHAnsi" w:eastAsiaTheme="minorEastAsia" w:hAnsiTheme="minorHAnsi" w:cstheme="minorBidi"/>
          <w:sz w:val="22"/>
          <w:szCs w:val="22"/>
        </w:rPr>
      </w:pPr>
      <w:r w:rsidRPr="00A33725">
        <w:t>4.3</w:t>
      </w:r>
      <w:r>
        <w:rPr>
          <w:rFonts w:asciiTheme="minorHAnsi" w:eastAsiaTheme="minorEastAsia" w:hAnsiTheme="minorHAnsi" w:cstheme="minorBidi"/>
          <w:sz w:val="22"/>
          <w:szCs w:val="22"/>
        </w:rPr>
        <w:tab/>
      </w:r>
      <w:r>
        <w:t>Partnerschappen en samenwerking</w:t>
      </w:r>
      <w:r>
        <w:tab/>
      </w:r>
      <w:r>
        <w:fldChar w:fldCharType="begin"/>
      </w:r>
      <w:r>
        <w:instrText xml:space="preserve"> PAGEREF _Toc491421104 \h </w:instrText>
      </w:r>
      <w:r>
        <w:fldChar w:fldCharType="separate"/>
      </w:r>
      <w:r>
        <w:t>10</w:t>
      </w:r>
      <w:r>
        <w:fldChar w:fldCharType="end"/>
      </w:r>
    </w:p>
    <w:p w14:paraId="01836249" w14:textId="538D0F84" w:rsidR="00A33725" w:rsidRDefault="00A33725">
      <w:pPr>
        <w:pStyle w:val="TOC3"/>
        <w:rPr>
          <w:rFonts w:asciiTheme="minorHAnsi" w:eastAsiaTheme="minorEastAsia" w:hAnsiTheme="minorHAnsi" w:cstheme="minorBidi"/>
          <w:sz w:val="22"/>
          <w:szCs w:val="22"/>
        </w:rPr>
      </w:pPr>
      <w:r>
        <w:t xml:space="preserve">4.4 </w:t>
      </w:r>
      <w:r>
        <w:rPr>
          <w:rFonts w:asciiTheme="minorHAnsi" w:eastAsiaTheme="minorEastAsia" w:hAnsiTheme="minorHAnsi" w:cstheme="minorBidi"/>
          <w:sz w:val="22"/>
          <w:szCs w:val="22"/>
        </w:rPr>
        <w:tab/>
      </w:r>
      <w:r>
        <w:t>Operationeel management</w:t>
      </w:r>
      <w:r>
        <w:tab/>
      </w:r>
      <w:r>
        <w:fldChar w:fldCharType="begin"/>
      </w:r>
      <w:r>
        <w:instrText xml:space="preserve"> PAGEREF _Toc491421105 \h </w:instrText>
      </w:r>
      <w:r>
        <w:fldChar w:fldCharType="separate"/>
      </w:r>
      <w:r>
        <w:t>11</w:t>
      </w:r>
      <w:r>
        <w:fldChar w:fldCharType="end"/>
      </w:r>
    </w:p>
    <w:p w14:paraId="285E4D5B" w14:textId="2D17E21D" w:rsidR="00A33725" w:rsidRDefault="00A33725">
      <w:pPr>
        <w:pStyle w:val="TOC3"/>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Beleidsevaluatie</w:t>
      </w:r>
      <w:r>
        <w:tab/>
      </w:r>
      <w:r>
        <w:fldChar w:fldCharType="begin"/>
      </w:r>
      <w:r>
        <w:instrText xml:space="preserve"> PAGEREF _Toc491421106 \h </w:instrText>
      </w:r>
      <w:r>
        <w:fldChar w:fldCharType="separate"/>
      </w:r>
      <w:r>
        <w:t>12</w:t>
      </w:r>
      <w:r>
        <w:fldChar w:fldCharType="end"/>
      </w:r>
    </w:p>
    <w:p w14:paraId="44CA76CC" w14:textId="1033656C" w:rsidR="00A33725" w:rsidRDefault="00A33725">
      <w:pPr>
        <w:pStyle w:val="TOC3"/>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Human Resource Management</w:t>
      </w:r>
      <w:r>
        <w:tab/>
      </w:r>
      <w:r>
        <w:fldChar w:fldCharType="begin"/>
      </w:r>
      <w:r>
        <w:instrText xml:space="preserve"> PAGEREF _Toc491421107 \h </w:instrText>
      </w:r>
      <w:r>
        <w:fldChar w:fldCharType="separate"/>
      </w:r>
      <w:r>
        <w:t>13</w:t>
      </w:r>
      <w:r>
        <w:fldChar w:fldCharType="end"/>
      </w:r>
    </w:p>
    <w:p w14:paraId="263C542E" w14:textId="2FE59598" w:rsidR="00A33725" w:rsidRDefault="00A33725">
      <w:pPr>
        <w:pStyle w:val="TOC3"/>
        <w:rPr>
          <w:rFonts w:asciiTheme="minorHAnsi" w:eastAsiaTheme="minorEastAsia" w:hAnsiTheme="minorHAnsi" w:cstheme="minorBidi"/>
          <w:sz w:val="22"/>
          <w:szCs w:val="22"/>
        </w:rPr>
      </w:pPr>
      <w:r>
        <w:t xml:space="preserve">4.7 </w:t>
      </w:r>
      <w:r>
        <w:rPr>
          <w:rFonts w:asciiTheme="minorHAnsi" w:eastAsiaTheme="minorEastAsia" w:hAnsiTheme="minorHAnsi" w:cstheme="minorBidi"/>
          <w:sz w:val="22"/>
          <w:szCs w:val="22"/>
        </w:rPr>
        <w:tab/>
      </w:r>
      <w:r>
        <w:t>Financiële stabiliteit</w:t>
      </w:r>
      <w:r>
        <w:tab/>
      </w:r>
      <w:r>
        <w:fldChar w:fldCharType="begin"/>
      </w:r>
      <w:r>
        <w:instrText xml:space="preserve"> PAGEREF _Toc491421108 \h </w:instrText>
      </w:r>
      <w:r>
        <w:fldChar w:fldCharType="separate"/>
      </w:r>
      <w:r>
        <w:t>14</w:t>
      </w:r>
      <w:r>
        <w:fldChar w:fldCharType="end"/>
      </w:r>
    </w:p>
    <w:p w14:paraId="73761F42" w14:textId="400FC4AA" w:rsidR="00A33725" w:rsidRDefault="00A33725">
      <w:pPr>
        <w:pStyle w:val="TOC3"/>
        <w:rPr>
          <w:rFonts w:asciiTheme="minorHAnsi" w:eastAsiaTheme="minorEastAsia" w:hAnsiTheme="minorHAnsi" w:cstheme="minorBidi"/>
          <w:sz w:val="22"/>
          <w:szCs w:val="22"/>
        </w:rPr>
      </w:pPr>
      <w:r>
        <w:t xml:space="preserve">4.8 </w:t>
      </w:r>
      <w:r>
        <w:rPr>
          <w:rFonts w:asciiTheme="minorHAnsi" w:eastAsiaTheme="minorEastAsia" w:hAnsiTheme="minorHAnsi" w:cstheme="minorBidi"/>
          <w:sz w:val="22"/>
          <w:szCs w:val="22"/>
        </w:rPr>
        <w:tab/>
      </w:r>
      <w:r>
        <w:t>Kostenreductie</w:t>
      </w:r>
      <w:r>
        <w:tab/>
      </w:r>
      <w:r>
        <w:fldChar w:fldCharType="begin"/>
      </w:r>
      <w:r>
        <w:instrText xml:space="preserve"> PAGEREF _Toc491421109 \h </w:instrText>
      </w:r>
      <w:r>
        <w:fldChar w:fldCharType="separate"/>
      </w:r>
      <w:r>
        <w:t>14</w:t>
      </w:r>
      <w:r>
        <w:fldChar w:fldCharType="end"/>
      </w:r>
    </w:p>
    <w:p w14:paraId="159A09CF" w14:textId="66C38706" w:rsidR="00A33725" w:rsidRDefault="00A33725">
      <w:pPr>
        <w:pStyle w:val="TOC3"/>
        <w:rPr>
          <w:rFonts w:asciiTheme="minorHAnsi" w:eastAsiaTheme="minorEastAsia" w:hAnsiTheme="minorHAnsi" w:cstheme="minorBidi"/>
          <w:sz w:val="22"/>
          <w:szCs w:val="22"/>
        </w:rPr>
      </w:pPr>
      <w:r>
        <w:t xml:space="preserve">4.9 </w:t>
      </w:r>
      <w:r>
        <w:rPr>
          <w:rFonts w:asciiTheme="minorHAnsi" w:eastAsiaTheme="minorEastAsia" w:hAnsiTheme="minorHAnsi" w:cstheme="minorBidi"/>
          <w:sz w:val="22"/>
          <w:szCs w:val="22"/>
        </w:rPr>
        <w:tab/>
      </w:r>
      <w:r>
        <w:t>Corruptiebestrijding</w:t>
      </w:r>
      <w:r>
        <w:tab/>
      </w:r>
      <w:r>
        <w:fldChar w:fldCharType="begin"/>
      </w:r>
      <w:r>
        <w:instrText xml:space="preserve"> PAGEREF _Toc491421110 \h </w:instrText>
      </w:r>
      <w:r>
        <w:fldChar w:fldCharType="separate"/>
      </w:r>
      <w:r>
        <w:t>15</w:t>
      </w:r>
      <w:r>
        <w:fldChar w:fldCharType="end"/>
      </w:r>
    </w:p>
    <w:p w14:paraId="51771427" w14:textId="65F1A5FD" w:rsidR="00A33725" w:rsidRDefault="00A33725">
      <w:pPr>
        <w:pStyle w:val="TOC2"/>
        <w:rPr>
          <w:rFonts w:asciiTheme="minorHAnsi" w:eastAsiaTheme="minorEastAsia" w:hAnsiTheme="minorHAnsi" w:cstheme="minorBidi"/>
          <w:b w:val="0"/>
          <w:sz w:val="22"/>
          <w:szCs w:val="22"/>
        </w:rPr>
      </w:pPr>
      <w:r>
        <w:t xml:space="preserve">5 </w:t>
      </w:r>
      <w:r>
        <w:rPr>
          <w:rFonts w:asciiTheme="minorHAnsi" w:eastAsiaTheme="minorEastAsia" w:hAnsiTheme="minorHAnsi" w:cstheme="minorBidi"/>
          <w:b w:val="0"/>
          <w:sz w:val="22"/>
          <w:szCs w:val="22"/>
        </w:rPr>
        <w:tab/>
      </w:r>
      <w:r>
        <w:t>Relevantie van de organisatie</w:t>
      </w:r>
      <w:r>
        <w:tab/>
      </w:r>
      <w:r>
        <w:fldChar w:fldCharType="begin"/>
      </w:r>
      <w:r>
        <w:instrText xml:space="preserve"> PAGEREF _Toc491421111 \h </w:instrText>
      </w:r>
      <w:r>
        <w:fldChar w:fldCharType="separate"/>
      </w:r>
      <w:r>
        <w:t>17</w:t>
      </w:r>
      <w:r>
        <w:fldChar w:fldCharType="end"/>
      </w:r>
    </w:p>
    <w:p w14:paraId="604D00B8" w14:textId="5BE0CFF8" w:rsidR="00A33725" w:rsidRDefault="00A33725">
      <w:pPr>
        <w:pStyle w:val="TOC3"/>
        <w:rPr>
          <w:rFonts w:asciiTheme="minorHAnsi" w:eastAsiaTheme="minorEastAsia" w:hAnsiTheme="minorHAnsi" w:cstheme="minorBidi"/>
          <w:sz w:val="22"/>
          <w:szCs w:val="22"/>
        </w:rPr>
      </w:pPr>
      <w:r>
        <w:t xml:space="preserve">5.1 </w:t>
      </w:r>
      <w:r>
        <w:rPr>
          <w:rFonts w:asciiTheme="minorHAnsi" w:eastAsiaTheme="minorEastAsia" w:hAnsiTheme="minorHAnsi" w:cstheme="minorBidi"/>
          <w:sz w:val="22"/>
          <w:szCs w:val="22"/>
        </w:rPr>
        <w:tab/>
      </w:r>
      <w:r>
        <w:t>Relevantie voor Nederlandse BHOS-prioriteiten</w:t>
      </w:r>
      <w:r>
        <w:tab/>
      </w:r>
      <w:r>
        <w:fldChar w:fldCharType="begin"/>
      </w:r>
      <w:r>
        <w:instrText xml:space="preserve"> PAGEREF _Toc491421112 \h </w:instrText>
      </w:r>
      <w:r>
        <w:fldChar w:fldCharType="separate"/>
      </w:r>
      <w:r>
        <w:t>17</w:t>
      </w:r>
      <w:r>
        <w:fldChar w:fldCharType="end"/>
      </w:r>
    </w:p>
    <w:p w14:paraId="052189E9" w14:textId="21E7DA8B" w:rsidR="00A33725" w:rsidRDefault="00A33725">
      <w:pPr>
        <w:pStyle w:val="TOC3"/>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Overige relevantie</w:t>
      </w:r>
      <w:r>
        <w:tab/>
      </w:r>
      <w:r>
        <w:fldChar w:fldCharType="begin"/>
      </w:r>
      <w:r>
        <w:instrText xml:space="preserve"> PAGEREF _Toc491421113 \h </w:instrText>
      </w:r>
      <w:r>
        <w:fldChar w:fldCharType="separate"/>
      </w:r>
      <w:r>
        <w:t>19</w:t>
      </w:r>
      <w:r>
        <w:fldChar w:fldCharType="end"/>
      </w:r>
    </w:p>
    <w:p w14:paraId="54A1B740" w14:textId="1A43639E" w:rsidR="00261F77" w:rsidRPr="00290657" w:rsidRDefault="006F712A" w:rsidP="0014161D">
      <w:pPr>
        <w:pStyle w:val="TOC3"/>
        <w:rPr>
          <w:rFonts w:ascii="Calibri" w:hAnsi="Calibri"/>
          <w:sz w:val="22"/>
          <w:szCs w:val="22"/>
        </w:rPr>
      </w:pPr>
      <w:r w:rsidRPr="00785F18">
        <w:fldChar w:fldCharType="end"/>
      </w:r>
    </w:p>
    <w:p w14:paraId="5AFFEA37" w14:textId="77777777" w:rsidR="00101F98" w:rsidRPr="00785F18" w:rsidRDefault="00101F98" w:rsidP="00163FA2">
      <w:pPr>
        <w:tabs>
          <w:tab w:val="left" w:pos="0"/>
        </w:tabs>
      </w:pPr>
    </w:p>
    <w:p w14:paraId="26C92343" w14:textId="77777777" w:rsidR="00A908F9" w:rsidRDefault="00A908F9" w:rsidP="00101F98"/>
    <w:p w14:paraId="0D5A8EAB" w14:textId="77777777" w:rsidR="00A908F9" w:rsidRPr="00A908F9" w:rsidRDefault="00A908F9" w:rsidP="00A908F9"/>
    <w:p w14:paraId="661FFAFA" w14:textId="77777777" w:rsidR="00A908F9" w:rsidRPr="00A908F9" w:rsidRDefault="00A908F9" w:rsidP="00A908F9"/>
    <w:p w14:paraId="73EC463F" w14:textId="77777777" w:rsidR="00A908F9" w:rsidRDefault="00A908F9" w:rsidP="00A908F9">
      <w:pPr>
        <w:jc w:val="center"/>
      </w:pPr>
    </w:p>
    <w:p w14:paraId="4A4FE1A3" w14:textId="77777777" w:rsidR="00101F98" w:rsidRPr="00A908F9" w:rsidRDefault="00101F98" w:rsidP="00A908F9">
      <w:pPr>
        <w:sectPr w:rsidR="00101F98" w:rsidRPr="00A908F9" w:rsidSect="00366DC9">
          <w:headerReference w:type="first" r:id="rId17"/>
          <w:endnotePr>
            <w:numFmt w:val="decimal"/>
          </w:endnotePr>
          <w:type w:val="continuous"/>
          <w:pgSz w:w="11906" w:h="16838" w:code="9"/>
          <w:pgMar w:top="2517" w:right="958" w:bottom="1077" w:left="3221" w:header="198" w:footer="658" w:gutter="0"/>
          <w:cols w:space="708"/>
          <w:titlePg/>
          <w:docGrid w:linePitch="360"/>
        </w:sectPr>
      </w:pPr>
      <w:bookmarkStart w:id="15" w:name="_GoBack"/>
      <w:bookmarkEnd w:id="15"/>
    </w:p>
    <w:p w14:paraId="29E53F3F" w14:textId="3338550A" w:rsidR="00784329" w:rsidRDefault="00784329" w:rsidP="00784329">
      <w:pPr>
        <w:pStyle w:val="Heading1"/>
        <w:tabs>
          <w:tab w:val="num" w:pos="0"/>
        </w:tabs>
        <w:spacing w:after="240" w:line="240" w:lineRule="auto"/>
        <w:ind w:hanging="1162"/>
      </w:pPr>
      <w:bookmarkStart w:id="16" w:name="_Toc238533654"/>
      <w:bookmarkStart w:id="17" w:name="_Toc238537583"/>
      <w:bookmarkStart w:id="18" w:name="_Toc238538136"/>
      <w:bookmarkStart w:id="19" w:name="_Toc238538151"/>
      <w:bookmarkStart w:id="20" w:name="_Toc410397639"/>
      <w:bookmarkStart w:id="21" w:name="_Toc491421092"/>
      <w:bookmarkStart w:id="22" w:name="_Toc300822504"/>
      <w:bookmarkEnd w:id="16"/>
      <w:bookmarkEnd w:id="17"/>
      <w:bookmarkEnd w:id="18"/>
      <w:bookmarkEnd w:id="19"/>
      <w:r>
        <w:lastRenderedPageBreak/>
        <w:t>1</w:t>
      </w:r>
      <w:r>
        <w:tab/>
      </w:r>
      <w:bookmarkEnd w:id="20"/>
      <w:r w:rsidR="00206A0E">
        <w:t>Samenvatting</w:t>
      </w:r>
      <w:bookmarkEnd w:id="21"/>
    </w:p>
    <w:p w14:paraId="5AB82D93" w14:textId="7971ACF9" w:rsidR="00784329" w:rsidRDefault="00784329" w:rsidP="00784329">
      <w:pPr>
        <w:pStyle w:val="Heading2"/>
        <w:tabs>
          <w:tab w:val="left" w:pos="-1162"/>
          <w:tab w:val="left" w:pos="0"/>
          <w:tab w:val="num" w:pos="1160"/>
        </w:tabs>
        <w:spacing w:line="240" w:lineRule="auto"/>
        <w:ind w:hanging="1162"/>
      </w:pPr>
      <w:bookmarkStart w:id="23" w:name="_Toc410397640"/>
      <w:bookmarkStart w:id="24" w:name="_Toc491421093"/>
      <w:r>
        <w:t xml:space="preserve">1.1 </w:t>
      </w:r>
      <w:r>
        <w:tab/>
        <w:t>Institutionele aspecten en functioneren</w:t>
      </w:r>
      <w:bookmarkEnd w:id="23"/>
      <w:bookmarkEnd w:id="24"/>
    </w:p>
    <w:p w14:paraId="6D6BF221" w14:textId="0AF92CDF" w:rsidR="00784329" w:rsidRPr="00E57CC8" w:rsidRDefault="00784329" w:rsidP="00784329">
      <w:r>
        <w:t xml:space="preserve">Het mandaat van de WHO bestrijkt een breed terrein en is voor Nederland zowel nationaal als internationaal relevant. Door het relatief hoge percentage </w:t>
      </w:r>
      <w:r w:rsidR="00984A34">
        <w:rPr>
          <w:i/>
        </w:rPr>
        <w:t>non-</w:t>
      </w:r>
      <w:proofErr w:type="spellStart"/>
      <w:r w:rsidR="00984A34">
        <w:rPr>
          <w:i/>
        </w:rPr>
        <w:t>core</w:t>
      </w:r>
      <w:proofErr w:type="spellEnd"/>
      <w:r w:rsidR="00984A34">
        <w:rPr>
          <w:i/>
        </w:rPr>
        <w:t xml:space="preserve"> </w:t>
      </w:r>
      <w:r>
        <w:t xml:space="preserve">vrijwillige bijdragen heeft de organisatie weinig autonomie om de meest relevante gezondheidsprioriteiten aan te pakken. Het grote aandeel </w:t>
      </w:r>
      <w:r w:rsidR="00984A34">
        <w:rPr>
          <w:i/>
        </w:rPr>
        <w:t>non-</w:t>
      </w:r>
      <w:proofErr w:type="spellStart"/>
      <w:r w:rsidR="00984A34">
        <w:rPr>
          <w:i/>
        </w:rPr>
        <w:t>core</w:t>
      </w:r>
      <w:proofErr w:type="spellEnd"/>
      <w:r>
        <w:t xml:space="preserve"> vrijwillige bijdragen brengt ook risico’s met zich mee voor de financiële stabiliteit. De WHO heeft een goed human resources beleid, waarbij aandacht is voor een gelijke vertegenwoordiging op basis van regionale verdeling alsook op het gebied van gender. Verder heeft de WHO in de afgelopen jaren door grondig te hervormen de evaluatiefunctie sterk verbeterd en ook stevig ingezet op het inzichtelijker maken van de resultaten en de wijze van financieren. Een punt dat nog verbetering behoeft is de delegatie van bevoegdheden en verantwoordelijkheden naar regionale- en landenkantoren. Enkele van deze kantoren presteren onder de maat. </w:t>
      </w:r>
    </w:p>
    <w:p w14:paraId="6134CFD3" w14:textId="77777777" w:rsidR="00784329" w:rsidRDefault="00784329" w:rsidP="00784329"/>
    <w:tbl>
      <w:tblPr>
        <w:tblW w:w="7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24"/>
        <w:gridCol w:w="850"/>
        <w:gridCol w:w="1442"/>
      </w:tblGrid>
      <w:tr w:rsidR="00784329" w14:paraId="2AA6598B" w14:textId="77777777" w:rsidTr="00CC73AE">
        <w:trPr>
          <w:trHeight w:val="207"/>
        </w:trPr>
        <w:tc>
          <w:tcPr>
            <w:tcW w:w="5524" w:type="dxa"/>
            <w:tcBorders>
              <w:top w:val="single" w:sz="12" w:space="0" w:color="auto"/>
              <w:left w:val="single" w:sz="12" w:space="0" w:color="auto"/>
              <w:bottom w:val="single" w:sz="12" w:space="0" w:color="auto"/>
            </w:tcBorders>
            <w:shd w:val="clear" w:color="auto" w:fill="BFBFBF" w:themeFill="background1" w:themeFillShade="BF"/>
          </w:tcPr>
          <w:p w14:paraId="59181C21" w14:textId="1073F3C4" w:rsidR="00784329" w:rsidRDefault="00784329" w:rsidP="00784329">
            <w:r w:rsidRPr="008F1B70">
              <w:rPr>
                <w:b/>
              </w:rPr>
              <w:t xml:space="preserve"> Institutionele aspecten </w:t>
            </w:r>
            <w:r>
              <w:rPr>
                <w:b/>
              </w:rPr>
              <w:t xml:space="preserve">en functioneren </w:t>
            </w:r>
          </w:p>
        </w:tc>
        <w:tc>
          <w:tcPr>
            <w:tcW w:w="850" w:type="dxa"/>
            <w:tcBorders>
              <w:top w:val="single" w:sz="12" w:space="0" w:color="auto"/>
              <w:bottom w:val="single" w:sz="12" w:space="0" w:color="auto"/>
            </w:tcBorders>
            <w:shd w:val="clear" w:color="auto" w:fill="BFBFBF" w:themeFill="background1" w:themeFillShade="BF"/>
          </w:tcPr>
          <w:p w14:paraId="0CFBF2E3" w14:textId="77777777" w:rsidR="00784329" w:rsidRDefault="00784329" w:rsidP="00784329">
            <w:r>
              <w:t>Score</w:t>
            </w:r>
          </w:p>
        </w:tc>
        <w:tc>
          <w:tcPr>
            <w:tcW w:w="1442" w:type="dxa"/>
            <w:tcBorders>
              <w:top w:val="single" w:sz="12" w:space="0" w:color="auto"/>
              <w:bottom w:val="single" w:sz="12" w:space="0" w:color="auto"/>
              <w:right w:val="single" w:sz="12" w:space="0" w:color="auto"/>
            </w:tcBorders>
            <w:shd w:val="clear" w:color="auto" w:fill="BFBFBF" w:themeFill="background1" w:themeFillShade="BF"/>
          </w:tcPr>
          <w:p w14:paraId="38A19A39" w14:textId="77777777" w:rsidR="00784329" w:rsidRDefault="00784329" w:rsidP="00784329">
            <w:r>
              <w:t>Verandering</w:t>
            </w:r>
          </w:p>
        </w:tc>
      </w:tr>
      <w:tr w:rsidR="00784329" w14:paraId="1ABD7FD1" w14:textId="77777777" w:rsidTr="00784329">
        <w:trPr>
          <w:trHeight w:val="244"/>
        </w:trPr>
        <w:tc>
          <w:tcPr>
            <w:tcW w:w="5524" w:type="dxa"/>
            <w:tcBorders>
              <w:top w:val="single" w:sz="12" w:space="0" w:color="auto"/>
              <w:left w:val="single" w:sz="12" w:space="0" w:color="auto"/>
            </w:tcBorders>
            <w:shd w:val="clear" w:color="auto" w:fill="auto"/>
          </w:tcPr>
          <w:p w14:paraId="1F94F1C2" w14:textId="77777777" w:rsidR="00784329" w:rsidRPr="00C26035" w:rsidRDefault="00784329" w:rsidP="00784329">
            <w:r>
              <w:t>Strategie en verantwoording</w:t>
            </w:r>
            <w:r w:rsidRPr="00C26035">
              <w:t xml:space="preserve"> </w:t>
            </w:r>
          </w:p>
        </w:tc>
        <w:tc>
          <w:tcPr>
            <w:tcW w:w="850" w:type="dxa"/>
            <w:tcBorders>
              <w:top w:val="single" w:sz="12" w:space="0" w:color="auto"/>
            </w:tcBorders>
            <w:shd w:val="clear" w:color="auto" w:fill="auto"/>
            <w:vAlign w:val="center"/>
          </w:tcPr>
          <w:p w14:paraId="300B58DF" w14:textId="77777777" w:rsidR="00784329" w:rsidRDefault="00784329" w:rsidP="00784329">
            <w:pPr>
              <w:jc w:val="center"/>
            </w:pPr>
            <w:r>
              <w:t>4</w:t>
            </w:r>
          </w:p>
        </w:tc>
        <w:tc>
          <w:tcPr>
            <w:tcW w:w="1442" w:type="dxa"/>
            <w:tcBorders>
              <w:top w:val="single" w:sz="12" w:space="0" w:color="auto"/>
              <w:right w:val="single" w:sz="12" w:space="0" w:color="auto"/>
            </w:tcBorders>
            <w:shd w:val="clear" w:color="auto" w:fill="auto"/>
            <w:vAlign w:val="center"/>
          </w:tcPr>
          <w:p w14:paraId="3E5D4219" w14:textId="77777777" w:rsidR="00784329" w:rsidRDefault="00784329" w:rsidP="00784329">
            <w:pPr>
              <w:jc w:val="center"/>
            </w:pPr>
            <w:r w:rsidRPr="00193994">
              <w:sym w:font="Wingdings" w:char="F0E8"/>
            </w:r>
          </w:p>
        </w:tc>
      </w:tr>
      <w:tr w:rsidR="00784329" w14:paraId="5DDA7820" w14:textId="77777777" w:rsidTr="00784329">
        <w:trPr>
          <w:trHeight w:val="233"/>
        </w:trPr>
        <w:tc>
          <w:tcPr>
            <w:tcW w:w="5524" w:type="dxa"/>
            <w:tcBorders>
              <w:left w:val="single" w:sz="12" w:space="0" w:color="auto"/>
            </w:tcBorders>
            <w:shd w:val="clear" w:color="auto" w:fill="auto"/>
          </w:tcPr>
          <w:p w14:paraId="2C15AA0E" w14:textId="77777777" w:rsidR="00784329" w:rsidRDefault="00784329" w:rsidP="00784329">
            <w:r>
              <w:t>Resultaatgerichtheid en transparantie</w:t>
            </w:r>
          </w:p>
        </w:tc>
        <w:tc>
          <w:tcPr>
            <w:tcW w:w="850" w:type="dxa"/>
            <w:shd w:val="clear" w:color="auto" w:fill="auto"/>
            <w:vAlign w:val="center"/>
          </w:tcPr>
          <w:p w14:paraId="562996A7" w14:textId="77777777" w:rsidR="00784329" w:rsidRDefault="00784329" w:rsidP="00784329">
            <w:pPr>
              <w:jc w:val="center"/>
            </w:pPr>
            <w:r>
              <w:t>4</w:t>
            </w:r>
          </w:p>
        </w:tc>
        <w:tc>
          <w:tcPr>
            <w:tcW w:w="1442" w:type="dxa"/>
            <w:tcBorders>
              <w:right w:val="single" w:sz="12" w:space="0" w:color="auto"/>
            </w:tcBorders>
            <w:shd w:val="clear" w:color="auto" w:fill="auto"/>
            <w:vAlign w:val="center"/>
          </w:tcPr>
          <w:p w14:paraId="14856E05" w14:textId="77777777" w:rsidR="00784329" w:rsidRDefault="00784329" w:rsidP="00784329">
            <w:pPr>
              <w:jc w:val="center"/>
            </w:pPr>
            <w:r w:rsidRPr="00193994">
              <w:sym w:font="Wingdings" w:char="F0E9"/>
            </w:r>
          </w:p>
        </w:tc>
      </w:tr>
      <w:tr w:rsidR="00784329" w14:paraId="40F442EA" w14:textId="77777777" w:rsidTr="00784329">
        <w:trPr>
          <w:trHeight w:val="244"/>
        </w:trPr>
        <w:tc>
          <w:tcPr>
            <w:tcW w:w="5524" w:type="dxa"/>
            <w:tcBorders>
              <w:left w:val="single" w:sz="12" w:space="0" w:color="auto"/>
            </w:tcBorders>
            <w:shd w:val="clear" w:color="auto" w:fill="auto"/>
          </w:tcPr>
          <w:p w14:paraId="16787E1D" w14:textId="77777777" w:rsidR="00784329" w:rsidRDefault="00784329" w:rsidP="00784329">
            <w:r>
              <w:t xml:space="preserve">Partnerschappen en samenwerking </w:t>
            </w:r>
          </w:p>
        </w:tc>
        <w:tc>
          <w:tcPr>
            <w:tcW w:w="850" w:type="dxa"/>
            <w:shd w:val="clear" w:color="auto" w:fill="auto"/>
            <w:vAlign w:val="center"/>
          </w:tcPr>
          <w:p w14:paraId="278AEA37" w14:textId="77777777" w:rsidR="00784329" w:rsidRDefault="00784329" w:rsidP="00784329">
            <w:pPr>
              <w:jc w:val="center"/>
            </w:pPr>
            <w:r>
              <w:t>4</w:t>
            </w:r>
          </w:p>
        </w:tc>
        <w:tc>
          <w:tcPr>
            <w:tcW w:w="1442" w:type="dxa"/>
            <w:tcBorders>
              <w:right w:val="single" w:sz="12" w:space="0" w:color="auto"/>
            </w:tcBorders>
            <w:shd w:val="clear" w:color="auto" w:fill="auto"/>
            <w:vAlign w:val="center"/>
          </w:tcPr>
          <w:p w14:paraId="174804FE" w14:textId="77777777" w:rsidR="00784329" w:rsidRDefault="00784329" w:rsidP="00784329">
            <w:pPr>
              <w:jc w:val="center"/>
            </w:pPr>
            <w:r w:rsidRPr="00193994">
              <w:sym w:font="Wingdings" w:char="F0E9"/>
            </w:r>
          </w:p>
        </w:tc>
      </w:tr>
      <w:tr w:rsidR="00784329" w14:paraId="7CF65698" w14:textId="77777777" w:rsidTr="00784329">
        <w:trPr>
          <w:trHeight w:val="244"/>
        </w:trPr>
        <w:tc>
          <w:tcPr>
            <w:tcW w:w="5524" w:type="dxa"/>
            <w:tcBorders>
              <w:left w:val="single" w:sz="12" w:space="0" w:color="auto"/>
            </w:tcBorders>
            <w:shd w:val="clear" w:color="auto" w:fill="auto"/>
          </w:tcPr>
          <w:p w14:paraId="29F8B456" w14:textId="77777777" w:rsidR="00784329" w:rsidRPr="00C26035" w:rsidRDefault="00784329" w:rsidP="00784329">
            <w:r>
              <w:t>Operationeel management</w:t>
            </w:r>
          </w:p>
        </w:tc>
        <w:tc>
          <w:tcPr>
            <w:tcW w:w="850" w:type="dxa"/>
            <w:shd w:val="clear" w:color="auto" w:fill="auto"/>
            <w:vAlign w:val="center"/>
          </w:tcPr>
          <w:p w14:paraId="452B00B6" w14:textId="77777777" w:rsidR="00784329" w:rsidRDefault="00784329" w:rsidP="00784329">
            <w:pPr>
              <w:jc w:val="center"/>
            </w:pPr>
            <w:r>
              <w:t>2</w:t>
            </w:r>
          </w:p>
        </w:tc>
        <w:tc>
          <w:tcPr>
            <w:tcW w:w="1442" w:type="dxa"/>
            <w:tcBorders>
              <w:right w:val="single" w:sz="12" w:space="0" w:color="auto"/>
            </w:tcBorders>
            <w:shd w:val="clear" w:color="auto" w:fill="auto"/>
            <w:vAlign w:val="center"/>
          </w:tcPr>
          <w:p w14:paraId="1DC72C2C" w14:textId="77777777" w:rsidR="00784329" w:rsidRDefault="00784329" w:rsidP="00784329">
            <w:pPr>
              <w:jc w:val="center"/>
            </w:pPr>
            <w:r w:rsidRPr="00193994">
              <w:sym w:font="Wingdings" w:char="F0E9"/>
            </w:r>
          </w:p>
        </w:tc>
      </w:tr>
      <w:tr w:rsidR="00784329" w14:paraId="12BB905A" w14:textId="77777777" w:rsidTr="00784329">
        <w:trPr>
          <w:trHeight w:val="233"/>
        </w:trPr>
        <w:tc>
          <w:tcPr>
            <w:tcW w:w="5524" w:type="dxa"/>
            <w:tcBorders>
              <w:left w:val="single" w:sz="12" w:space="0" w:color="auto"/>
            </w:tcBorders>
            <w:shd w:val="clear" w:color="auto" w:fill="auto"/>
          </w:tcPr>
          <w:p w14:paraId="688E546F" w14:textId="77777777" w:rsidR="00784329" w:rsidRPr="00C26035" w:rsidRDefault="00784329" w:rsidP="00784329">
            <w:r>
              <w:t>Beleidsevaluatie</w:t>
            </w:r>
          </w:p>
        </w:tc>
        <w:tc>
          <w:tcPr>
            <w:tcW w:w="850" w:type="dxa"/>
            <w:shd w:val="clear" w:color="auto" w:fill="auto"/>
            <w:vAlign w:val="center"/>
          </w:tcPr>
          <w:p w14:paraId="374A19DD" w14:textId="77777777" w:rsidR="00784329" w:rsidRDefault="00784329" w:rsidP="00784329">
            <w:pPr>
              <w:jc w:val="center"/>
            </w:pPr>
            <w:r>
              <w:t>3</w:t>
            </w:r>
          </w:p>
        </w:tc>
        <w:tc>
          <w:tcPr>
            <w:tcW w:w="1442" w:type="dxa"/>
            <w:tcBorders>
              <w:right w:val="single" w:sz="12" w:space="0" w:color="auto"/>
            </w:tcBorders>
            <w:shd w:val="clear" w:color="auto" w:fill="auto"/>
            <w:vAlign w:val="center"/>
          </w:tcPr>
          <w:p w14:paraId="30CF1092" w14:textId="77777777" w:rsidR="00784329" w:rsidRDefault="00784329" w:rsidP="00784329">
            <w:pPr>
              <w:jc w:val="center"/>
            </w:pPr>
            <w:r w:rsidRPr="00193994">
              <w:sym w:font="Wingdings" w:char="F0E9"/>
            </w:r>
          </w:p>
        </w:tc>
      </w:tr>
      <w:tr w:rsidR="00784329" w14:paraId="1A12B759" w14:textId="77777777" w:rsidTr="00784329">
        <w:trPr>
          <w:trHeight w:val="244"/>
        </w:trPr>
        <w:tc>
          <w:tcPr>
            <w:tcW w:w="5524" w:type="dxa"/>
            <w:tcBorders>
              <w:left w:val="single" w:sz="12" w:space="0" w:color="auto"/>
            </w:tcBorders>
            <w:shd w:val="clear" w:color="auto" w:fill="auto"/>
          </w:tcPr>
          <w:p w14:paraId="758FE68D" w14:textId="77777777" w:rsidR="00784329" w:rsidRPr="00C26035" w:rsidRDefault="00784329" w:rsidP="00784329">
            <w:r w:rsidRPr="00C26035">
              <w:t>Human Resource Management</w:t>
            </w:r>
          </w:p>
        </w:tc>
        <w:tc>
          <w:tcPr>
            <w:tcW w:w="850" w:type="dxa"/>
            <w:shd w:val="clear" w:color="auto" w:fill="auto"/>
            <w:vAlign w:val="center"/>
          </w:tcPr>
          <w:p w14:paraId="2C8C98CC" w14:textId="77777777" w:rsidR="00784329" w:rsidRDefault="00784329" w:rsidP="00784329">
            <w:pPr>
              <w:jc w:val="center"/>
            </w:pPr>
            <w:r>
              <w:t>4</w:t>
            </w:r>
          </w:p>
        </w:tc>
        <w:tc>
          <w:tcPr>
            <w:tcW w:w="1442" w:type="dxa"/>
            <w:tcBorders>
              <w:right w:val="single" w:sz="12" w:space="0" w:color="auto"/>
            </w:tcBorders>
            <w:shd w:val="clear" w:color="auto" w:fill="auto"/>
            <w:vAlign w:val="center"/>
          </w:tcPr>
          <w:p w14:paraId="28CEA167" w14:textId="77777777" w:rsidR="00784329" w:rsidRDefault="00784329" w:rsidP="00784329">
            <w:pPr>
              <w:jc w:val="center"/>
            </w:pPr>
            <w:r w:rsidRPr="00193994">
              <w:sym w:font="Wingdings" w:char="F0E9"/>
            </w:r>
          </w:p>
        </w:tc>
      </w:tr>
      <w:tr w:rsidR="00784329" w14:paraId="05B3F5BA" w14:textId="77777777" w:rsidTr="00784329">
        <w:trPr>
          <w:trHeight w:val="233"/>
        </w:trPr>
        <w:tc>
          <w:tcPr>
            <w:tcW w:w="5524" w:type="dxa"/>
            <w:tcBorders>
              <w:left w:val="single" w:sz="12" w:space="0" w:color="auto"/>
            </w:tcBorders>
            <w:shd w:val="clear" w:color="auto" w:fill="auto"/>
          </w:tcPr>
          <w:p w14:paraId="2772A074" w14:textId="77777777" w:rsidR="00784329" w:rsidRPr="00445FEE" w:rsidRDefault="00784329" w:rsidP="00784329">
            <w:r w:rsidRPr="00445FEE">
              <w:t xml:space="preserve">Financiële </w:t>
            </w:r>
            <w:r>
              <w:t>stabiliteit</w:t>
            </w:r>
          </w:p>
        </w:tc>
        <w:tc>
          <w:tcPr>
            <w:tcW w:w="850" w:type="dxa"/>
            <w:shd w:val="clear" w:color="auto" w:fill="auto"/>
            <w:vAlign w:val="center"/>
          </w:tcPr>
          <w:p w14:paraId="73825289" w14:textId="77777777" w:rsidR="00784329" w:rsidRDefault="00784329" w:rsidP="00784329">
            <w:pPr>
              <w:jc w:val="center"/>
            </w:pPr>
            <w:r>
              <w:t>3</w:t>
            </w:r>
          </w:p>
        </w:tc>
        <w:tc>
          <w:tcPr>
            <w:tcW w:w="1442" w:type="dxa"/>
            <w:tcBorders>
              <w:right w:val="single" w:sz="12" w:space="0" w:color="auto"/>
            </w:tcBorders>
            <w:shd w:val="clear" w:color="auto" w:fill="auto"/>
            <w:vAlign w:val="center"/>
          </w:tcPr>
          <w:p w14:paraId="69A54E26" w14:textId="77777777" w:rsidR="00784329" w:rsidRDefault="00784329" w:rsidP="00784329">
            <w:pPr>
              <w:jc w:val="center"/>
            </w:pPr>
            <w:r w:rsidRPr="00193994">
              <w:sym w:font="Wingdings" w:char="F0E9"/>
            </w:r>
          </w:p>
        </w:tc>
      </w:tr>
      <w:tr w:rsidR="00784329" w14:paraId="4CCD11AF" w14:textId="77777777" w:rsidTr="00784329">
        <w:trPr>
          <w:trHeight w:val="244"/>
        </w:trPr>
        <w:tc>
          <w:tcPr>
            <w:tcW w:w="5524" w:type="dxa"/>
            <w:tcBorders>
              <w:left w:val="single" w:sz="12" w:space="0" w:color="auto"/>
            </w:tcBorders>
            <w:shd w:val="clear" w:color="auto" w:fill="auto"/>
          </w:tcPr>
          <w:p w14:paraId="22796320" w14:textId="06D01774" w:rsidR="00784329" w:rsidRPr="00445FEE" w:rsidRDefault="00784329" w:rsidP="002A5AD6">
            <w:r>
              <w:t>Kosten</w:t>
            </w:r>
            <w:r w:rsidR="002A5AD6">
              <w:t>reductie</w:t>
            </w:r>
          </w:p>
        </w:tc>
        <w:tc>
          <w:tcPr>
            <w:tcW w:w="850" w:type="dxa"/>
            <w:shd w:val="clear" w:color="auto" w:fill="auto"/>
            <w:vAlign w:val="center"/>
          </w:tcPr>
          <w:p w14:paraId="25DC822B" w14:textId="77777777" w:rsidR="00784329" w:rsidRDefault="00784329" w:rsidP="00784329">
            <w:pPr>
              <w:jc w:val="center"/>
            </w:pPr>
            <w:r>
              <w:t>3</w:t>
            </w:r>
          </w:p>
        </w:tc>
        <w:tc>
          <w:tcPr>
            <w:tcW w:w="1442" w:type="dxa"/>
            <w:tcBorders>
              <w:right w:val="single" w:sz="12" w:space="0" w:color="auto"/>
            </w:tcBorders>
            <w:shd w:val="clear" w:color="auto" w:fill="auto"/>
            <w:vAlign w:val="center"/>
          </w:tcPr>
          <w:p w14:paraId="177A604C" w14:textId="77777777" w:rsidR="00784329" w:rsidRDefault="00784329" w:rsidP="00784329">
            <w:pPr>
              <w:jc w:val="center"/>
            </w:pPr>
            <w:r w:rsidRPr="00193994">
              <w:sym w:font="Wingdings" w:char="F0E9"/>
            </w:r>
          </w:p>
        </w:tc>
      </w:tr>
      <w:tr w:rsidR="00784329" w14:paraId="6953A428" w14:textId="77777777" w:rsidTr="00784329">
        <w:trPr>
          <w:trHeight w:val="233"/>
        </w:trPr>
        <w:tc>
          <w:tcPr>
            <w:tcW w:w="5524" w:type="dxa"/>
            <w:tcBorders>
              <w:left w:val="single" w:sz="12" w:space="0" w:color="auto"/>
              <w:bottom w:val="single" w:sz="12" w:space="0" w:color="auto"/>
            </w:tcBorders>
            <w:shd w:val="clear" w:color="auto" w:fill="auto"/>
          </w:tcPr>
          <w:p w14:paraId="283CA256" w14:textId="77777777" w:rsidR="00784329" w:rsidRPr="00445FEE" w:rsidRDefault="00784329" w:rsidP="00784329">
            <w:r w:rsidRPr="00445FEE">
              <w:t xml:space="preserve">Corruptiebestrijding </w:t>
            </w:r>
          </w:p>
        </w:tc>
        <w:tc>
          <w:tcPr>
            <w:tcW w:w="850" w:type="dxa"/>
            <w:tcBorders>
              <w:bottom w:val="single" w:sz="12" w:space="0" w:color="auto"/>
            </w:tcBorders>
            <w:shd w:val="clear" w:color="auto" w:fill="auto"/>
            <w:vAlign w:val="center"/>
          </w:tcPr>
          <w:p w14:paraId="392C7703" w14:textId="4DBD6B33" w:rsidR="00784329" w:rsidRDefault="00EC70D0" w:rsidP="00784329">
            <w:pPr>
              <w:jc w:val="center"/>
            </w:pPr>
            <w:r>
              <w:t>4</w:t>
            </w:r>
          </w:p>
        </w:tc>
        <w:tc>
          <w:tcPr>
            <w:tcW w:w="1442" w:type="dxa"/>
            <w:tcBorders>
              <w:bottom w:val="single" w:sz="12" w:space="0" w:color="auto"/>
              <w:right w:val="single" w:sz="12" w:space="0" w:color="auto"/>
            </w:tcBorders>
            <w:shd w:val="clear" w:color="auto" w:fill="auto"/>
            <w:vAlign w:val="center"/>
          </w:tcPr>
          <w:p w14:paraId="79DE89A6" w14:textId="77777777" w:rsidR="00784329" w:rsidRDefault="00784329" w:rsidP="00784329">
            <w:pPr>
              <w:jc w:val="center"/>
            </w:pPr>
            <w:r w:rsidRPr="00193994">
              <w:sym w:font="Wingdings" w:char="F0E8"/>
            </w:r>
          </w:p>
        </w:tc>
      </w:tr>
    </w:tbl>
    <w:p w14:paraId="6C4596C1" w14:textId="77777777" w:rsidR="00784329" w:rsidRDefault="00784329" w:rsidP="00784329">
      <w:pPr>
        <w:ind w:firstLine="227"/>
      </w:pPr>
    </w:p>
    <w:p w14:paraId="48CD804D" w14:textId="7A9CCBDB" w:rsidR="00784329" w:rsidRPr="00193994" w:rsidRDefault="00784329" w:rsidP="00784329">
      <w:pPr>
        <w:ind w:left="227" w:firstLine="227"/>
      </w:pPr>
      <w:r w:rsidRPr="00193994">
        <w:t xml:space="preserve">Beoordeling: </w:t>
      </w:r>
      <w:r>
        <w:t>Onvoldoende = 1, Matig = 2, Voldoende = 3, Goed</w:t>
      </w:r>
      <w:r w:rsidRPr="00193994">
        <w:t xml:space="preserve"> = 4</w:t>
      </w:r>
    </w:p>
    <w:p w14:paraId="0EBFE7C9" w14:textId="5B056034" w:rsidR="00784329" w:rsidRPr="00C92DC6" w:rsidRDefault="00784329" w:rsidP="00784329">
      <w:pPr>
        <w:ind w:left="227" w:firstLine="227"/>
      </w:pPr>
      <w:r w:rsidRPr="00193994">
        <w:t>Ver</w:t>
      </w:r>
      <w:r>
        <w:t>andering sinds 2015: positief</w:t>
      </w:r>
      <w:r w:rsidRPr="00193994">
        <w:t xml:space="preserve"> =</w:t>
      </w:r>
      <w:r w:rsidR="00AE6CA2">
        <w:t xml:space="preserve"> </w:t>
      </w:r>
      <w:r w:rsidRPr="00193994">
        <w:sym w:font="Wingdings" w:char="F0E9"/>
      </w:r>
      <w:r>
        <w:t>, neutraal</w:t>
      </w:r>
      <w:r w:rsidRPr="00193994">
        <w:t xml:space="preserve"> = </w:t>
      </w:r>
      <w:r w:rsidRPr="00193994">
        <w:sym w:font="Wingdings" w:char="F0E8"/>
      </w:r>
      <w:r>
        <w:t xml:space="preserve">, negatief = </w:t>
      </w:r>
      <w:r w:rsidRPr="00E57CC8">
        <w:rPr>
          <w:rFonts w:ascii="Segoe UI Emoji" w:eastAsia="Segoe UI Emoji" w:hAnsi="Segoe UI Emoji" w:cs="Segoe UI Emoji"/>
          <w:b/>
        </w:rPr>
        <w:t>↓</w:t>
      </w:r>
    </w:p>
    <w:p w14:paraId="732BCD61" w14:textId="77777777" w:rsidR="00784329" w:rsidRPr="00164384" w:rsidRDefault="00784329" w:rsidP="00784329"/>
    <w:p w14:paraId="7272E764" w14:textId="44E270BE" w:rsidR="00784329" w:rsidRDefault="00784329" w:rsidP="00784329">
      <w:pPr>
        <w:pStyle w:val="Heading2"/>
        <w:tabs>
          <w:tab w:val="left" w:pos="-1162"/>
          <w:tab w:val="left" w:pos="0"/>
          <w:tab w:val="num" w:pos="1160"/>
        </w:tabs>
        <w:spacing w:line="240" w:lineRule="auto"/>
        <w:ind w:hanging="1162"/>
      </w:pPr>
      <w:bookmarkStart w:id="25" w:name="_Toc410397641"/>
      <w:bookmarkStart w:id="26" w:name="_Toc491421094"/>
      <w:r>
        <w:t xml:space="preserve">1.2 </w:t>
      </w:r>
      <w:r>
        <w:tab/>
        <w:t>Beleidsrelevantie</w:t>
      </w:r>
      <w:bookmarkEnd w:id="25"/>
      <w:bookmarkEnd w:id="26"/>
    </w:p>
    <w:p w14:paraId="20F851E3" w14:textId="3D78A54E" w:rsidR="00784329" w:rsidRPr="003F26FC" w:rsidRDefault="00784329" w:rsidP="00784329">
      <w:r>
        <w:t xml:space="preserve">De WHO is relevant op het gebied van voedselzekerheid, water, SRGR, gendergelijkheid, humanitaire hulp en inclusieve ontwikkeling. Op al deze onderwerpen heeft de WHO op het gezondheidsaspect een normerende rol. Voor humanitaire hulp heeft de WHO ook een duidelijke coördinerende rol. De WHO wordt gezien als gezaghebbend op deze gebieden en scoort binnen haar mandaat dan ook goed op de BHOS-prioriteiten. Daarnaast is de WHO belangrijk voor Nederland vanwege de regelgeving op het gebied van volksgezondheid die Nederland heeft geratificeerd en geïmplementeerd, maar ook de niet-bindende normerende stukken die de WHO uitgeeft. Op een aantal gebieden is de WHO voor prioritaire thema’s van het Nederlands volksgezondheidsbeleid zeer relevant. </w:t>
      </w:r>
    </w:p>
    <w:p w14:paraId="7AD75636" w14:textId="729FD67E" w:rsidR="00C67B8F" w:rsidRDefault="00C67B8F"/>
    <w:p w14:paraId="78F4909D" w14:textId="3B3C3AE2" w:rsidR="00A33725" w:rsidRDefault="00A33725"/>
    <w:p w14:paraId="10ABC0BA" w14:textId="3ED99286" w:rsidR="00A33725" w:rsidRDefault="00A33725"/>
    <w:p w14:paraId="3BD70645" w14:textId="74C98547" w:rsidR="00A33725" w:rsidRDefault="00A33725"/>
    <w:p w14:paraId="720AEF13" w14:textId="2E6293C9" w:rsidR="00A33725" w:rsidRDefault="00A33725"/>
    <w:p w14:paraId="16CC6196" w14:textId="10ADA10E" w:rsidR="00A33725" w:rsidRDefault="00A33725"/>
    <w:p w14:paraId="7008527A" w14:textId="19740C39" w:rsidR="00A33725" w:rsidRDefault="00A33725"/>
    <w:p w14:paraId="14059803" w14:textId="7F8ACFD3" w:rsidR="00A33725" w:rsidRDefault="00A33725"/>
    <w:p w14:paraId="0B53DDEC" w14:textId="0F9BF337" w:rsidR="00A33725" w:rsidRDefault="00A33725"/>
    <w:p w14:paraId="6CCE3276" w14:textId="295C1C70" w:rsidR="00A33725" w:rsidRDefault="00A33725"/>
    <w:p w14:paraId="4DBBBB58" w14:textId="4050B5B7" w:rsidR="00A33725" w:rsidRDefault="00A33725"/>
    <w:p w14:paraId="7358169A" w14:textId="77777777" w:rsidR="00A33725" w:rsidRDefault="00A3372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5"/>
        <w:gridCol w:w="11"/>
        <w:gridCol w:w="1745"/>
        <w:gridCol w:w="17"/>
        <w:gridCol w:w="1844"/>
        <w:gridCol w:w="1735"/>
      </w:tblGrid>
      <w:tr w:rsidR="00784329" w14:paraId="343802AE" w14:textId="77777777" w:rsidTr="00CC73AE">
        <w:tc>
          <w:tcPr>
            <w:tcW w:w="2356" w:type="dxa"/>
            <w:gridSpan w:val="2"/>
            <w:tcBorders>
              <w:top w:val="single" w:sz="12" w:space="0" w:color="auto"/>
              <w:left w:val="single" w:sz="12" w:space="0" w:color="auto"/>
              <w:bottom w:val="single" w:sz="12" w:space="0" w:color="auto"/>
            </w:tcBorders>
            <w:shd w:val="clear" w:color="auto" w:fill="BFBFBF" w:themeFill="background1" w:themeFillShade="BF"/>
          </w:tcPr>
          <w:p w14:paraId="10E41A0B" w14:textId="74625156" w:rsidR="00784329" w:rsidRDefault="00784329" w:rsidP="00784329">
            <w:pPr>
              <w:jc w:val="right"/>
            </w:pPr>
          </w:p>
        </w:tc>
        <w:tc>
          <w:tcPr>
            <w:tcW w:w="1762" w:type="dxa"/>
            <w:gridSpan w:val="2"/>
            <w:tcBorders>
              <w:top w:val="single" w:sz="12" w:space="0" w:color="auto"/>
              <w:bottom w:val="single" w:sz="12" w:space="0" w:color="auto"/>
            </w:tcBorders>
            <w:shd w:val="clear" w:color="auto" w:fill="BFBFBF" w:themeFill="background1" w:themeFillShade="BF"/>
          </w:tcPr>
          <w:p w14:paraId="19C7D969" w14:textId="77777777" w:rsidR="00784329" w:rsidRPr="00D94DB4" w:rsidRDefault="00784329" w:rsidP="00784329">
            <w:pPr>
              <w:rPr>
                <w:b/>
              </w:rPr>
            </w:pPr>
            <w:r w:rsidRPr="00D94DB4">
              <w:rPr>
                <w:b/>
              </w:rPr>
              <w:t>Uitvoerend</w:t>
            </w:r>
          </w:p>
        </w:tc>
        <w:tc>
          <w:tcPr>
            <w:tcW w:w="1844" w:type="dxa"/>
            <w:tcBorders>
              <w:top w:val="single" w:sz="12" w:space="0" w:color="auto"/>
              <w:bottom w:val="single" w:sz="12" w:space="0" w:color="auto"/>
            </w:tcBorders>
            <w:shd w:val="clear" w:color="auto" w:fill="BFBFBF" w:themeFill="background1" w:themeFillShade="BF"/>
          </w:tcPr>
          <w:p w14:paraId="22EC5A94" w14:textId="77777777" w:rsidR="00784329" w:rsidRPr="00D94DB4" w:rsidRDefault="00784329" w:rsidP="00784329">
            <w:pPr>
              <w:rPr>
                <w:b/>
              </w:rPr>
            </w:pPr>
            <w:r w:rsidRPr="00D94DB4">
              <w:rPr>
                <w:b/>
              </w:rPr>
              <w:t>Coördinerend</w:t>
            </w:r>
          </w:p>
        </w:tc>
        <w:tc>
          <w:tcPr>
            <w:tcW w:w="1735" w:type="dxa"/>
            <w:tcBorders>
              <w:top w:val="single" w:sz="12" w:space="0" w:color="auto"/>
              <w:right w:val="single" w:sz="12" w:space="0" w:color="auto"/>
            </w:tcBorders>
            <w:shd w:val="clear" w:color="auto" w:fill="BFBFBF" w:themeFill="background1" w:themeFillShade="BF"/>
          </w:tcPr>
          <w:p w14:paraId="605B938A" w14:textId="77777777" w:rsidR="00784329" w:rsidRPr="00D94DB4" w:rsidRDefault="00784329" w:rsidP="00784329">
            <w:pPr>
              <w:rPr>
                <w:b/>
              </w:rPr>
            </w:pPr>
            <w:r w:rsidRPr="00D94DB4">
              <w:rPr>
                <w:b/>
              </w:rPr>
              <w:t>Normatief</w:t>
            </w:r>
          </w:p>
        </w:tc>
      </w:tr>
      <w:tr w:rsidR="00784329" w14:paraId="1498D3CB" w14:textId="77777777" w:rsidTr="00AB395F">
        <w:tc>
          <w:tcPr>
            <w:tcW w:w="7697" w:type="dxa"/>
            <w:gridSpan w:val="6"/>
            <w:tcBorders>
              <w:top w:val="single" w:sz="12" w:space="0" w:color="auto"/>
              <w:left w:val="single" w:sz="12" w:space="0" w:color="auto"/>
              <w:right w:val="single" w:sz="12" w:space="0" w:color="auto"/>
            </w:tcBorders>
            <w:shd w:val="clear" w:color="auto" w:fill="BFBFBF" w:themeFill="background1" w:themeFillShade="BF"/>
          </w:tcPr>
          <w:p w14:paraId="144ACCA0" w14:textId="16A9EA4D" w:rsidR="00784329" w:rsidRPr="00D94DB4" w:rsidRDefault="00784329" w:rsidP="00784329">
            <w:pPr>
              <w:rPr>
                <w:b/>
              </w:rPr>
            </w:pPr>
            <w:r>
              <w:rPr>
                <w:b/>
              </w:rPr>
              <w:t>Relevantie voor de Nederlandse BHOS-prioriteiten</w:t>
            </w:r>
          </w:p>
        </w:tc>
      </w:tr>
      <w:tr w:rsidR="00784329" w14:paraId="39DB3BDA" w14:textId="77777777" w:rsidTr="00AB395F">
        <w:tc>
          <w:tcPr>
            <w:tcW w:w="2356" w:type="dxa"/>
            <w:gridSpan w:val="2"/>
            <w:tcBorders>
              <w:top w:val="single" w:sz="12" w:space="0" w:color="auto"/>
              <w:left w:val="single" w:sz="12" w:space="0" w:color="auto"/>
            </w:tcBorders>
            <w:shd w:val="clear" w:color="auto" w:fill="auto"/>
          </w:tcPr>
          <w:p w14:paraId="4601D907" w14:textId="63F7680A" w:rsidR="00454097" w:rsidRDefault="00784329" w:rsidP="00784329">
            <w:r>
              <w:t>Voedselzekerheid</w:t>
            </w:r>
          </w:p>
        </w:tc>
        <w:tc>
          <w:tcPr>
            <w:tcW w:w="1762" w:type="dxa"/>
            <w:gridSpan w:val="2"/>
            <w:tcBorders>
              <w:top w:val="single" w:sz="12" w:space="0" w:color="auto"/>
            </w:tcBorders>
            <w:shd w:val="clear" w:color="auto" w:fill="auto"/>
          </w:tcPr>
          <w:p w14:paraId="4FEFC9EB" w14:textId="77777777" w:rsidR="00784329" w:rsidRDefault="00784329" w:rsidP="00784329"/>
        </w:tc>
        <w:tc>
          <w:tcPr>
            <w:tcW w:w="1844" w:type="dxa"/>
            <w:tcBorders>
              <w:top w:val="single" w:sz="12" w:space="0" w:color="auto"/>
            </w:tcBorders>
            <w:shd w:val="clear" w:color="auto" w:fill="auto"/>
          </w:tcPr>
          <w:p w14:paraId="3D22172F" w14:textId="77777777" w:rsidR="00784329" w:rsidRDefault="00784329" w:rsidP="00784329"/>
        </w:tc>
        <w:tc>
          <w:tcPr>
            <w:tcW w:w="1735" w:type="dxa"/>
            <w:tcBorders>
              <w:top w:val="single" w:sz="12" w:space="0" w:color="auto"/>
              <w:right w:val="single" w:sz="12" w:space="0" w:color="auto"/>
            </w:tcBorders>
            <w:shd w:val="clear" w:color="auto" w:fill="auto"/>
          </w:tcPr>
          <w:p w14:paraId="5FE0459B" w14:textId="77777777" w:rsidR="00784329" w:rsidRDefault="00784329" w:rsidP="00784329">
            <w:r>
              <w:t>4</w:t>
            </w:r>
          </w:p>
        </w:tc>
      </w:tr>
      <w:tr w:rsidR="00784329" w14:paraId="736271FC" w14:textId="77777777" w:rsidTr="00AB395F">
        <w:tc>
          <w:tcPr>
            <w:tcW w:w="2356" w:type="dxa"/>
            <w:gridSpan w:val="2"/>
            <w:tcBorders>
              <w:left w:val="single" w:sz="12" w:space="0" w:color="auto"/>
            </w:tcBorders>
            <w:shd w:val="clear" w:color="auto" w:fill="auto"/>
          </w:tcPr>
          <w:p w14:paraId="2A93ED4B" w14:textId="04AAF8B4" w:rsidR="00454097" w:rsidRDefault="00784329" w:rsidP="00784329">
            <w:r>
              <w:t>Water</w:t>
            </w:r>
          </w:p>
        </w:tc>
        <w:tc>
          <w:tcPr>
            <w:tcW w:w="1762" w:type="dxa"/>
            <w:gridSpan w:val="2"/>
            <w:shd w:val="clear" w:color="auto" w:fill="auto"/>
          </w:tcPr>
          <w:p w14:paraId="08031A96" w14:textId="77777777" w:rsidR="00784329" w:rsidRDefault="00784329" w:rsidP="00784329"/>
        </w:tc>
        <w:tc>
          <w:tcPr>
            <w:tcW w:w="1844" w:type="dxa"/>
            <w:shd w:val="clear" w:color="auto" w:fill="auto"/>
          </w:tcPr>
          <w:p w14:paraId="7A1F92C7" w14:textId="77777777" w:rsidR="00784329" w:rsidRDefault="00784329" w:rsidP="00784329"/>
        </w:tc>
        <w:tc>
          <w:tcPr>
            <w:tcW w:w="1735" w:type="dxa"/>
            <w:tcBorders>
              <w:right w:val="single" w:sz="12" w:space="0" w:color="auto"/>
            </w:tcBorders>
            <w:shd w:val="clear" w:color="auto" w:fill="auto"/>
          </w:tcPr>
          <w:p w14:paraId="284ED587" w14:textId="77777777" w:rsidR="00784329" w:rsidRDefault="00784329" w:rsidP="00784329">
            <w:r>
              <w:t>4</w:t>
            </w:r>
          </w:p>
        </w:tc>
      </w:tr>
      <w:tr w:rsidR="00784329" w14:paraId="6C66E1CE" w14:textId="77777777" w:rsidTr="00AB395F">
        <w:tc>
          <w:tcPr>
            <w:tcW w:w="2356" w:type="dxa"/>
            <w:gridSpan w:val="2"/>
            <w:tcBorders>
              <w:left w:val="single" w:sz="12" w:space="0" w:color="auto"/>
            </w:tcBorders>
            <w:shd w:val="clear" w:color="auto" w:fill="auto"/>
          </w:tcPr>
          <w:p w14:paraId="53ACD205" w14:textId="713D1ED8" w:rsidR="00454097" w:rsidRDefault="00784329" w:rsidP="00784329">
            <w:r>
              <w:t>SRGR</w:t>
            </w:r>
          </w:p>
        </w:tc>
        <w:tc>
          <w:tcPr>
            <w:tcW w:w="1762" w:type="dxa"/>
            <w:gridSpan w:val="2"/>
            <w:shd w:val="clear" w:color="auto" w:fill="auto"/>
          </w:tcPr>
          <w:p w14:paraId="2801FCC2" w14:textId="77777777" w:rsidR="00784329" w:rsidRDefault="00784329" w:rsidP="00784329"/>
        </w:tc>
        <w:tc>
          <w:tcPr>
            <w:tcW w:w="1844" w:type="dxa"/>
            <w:shd w:val="clear" w:color="auto" w:fill="auto"/>
          </w:tcPr>
          <w:p w14:paraId="6F4A6A60" w14:textId="77777777" w:rsidR="00784329" w:rsidRDefault="00784329" w:rsidP="00784329">
            <w:r>
              <w:t>4</w:t>
            </w:r>
          </w:p>
        </w:tc>
        <w:tc>
          <w:tcPr>
            <w:tcW w:w="1735" w:type="dxa"/>
            <w:tcBorders>
              <w:right w:val="single" w:sz="12" w:space="0" w:color="auto"/>
            </w:tcBorders>
            <w:shd w:val="clear" w:color="auto" w:fill="auto"/>
          </w:tcPr>
          <w:p w14:paraId="14DFE528" w14:textId="77777777" w:rsidR="00784329" w:rsidRDefault="00784329" w:rsidP="00784329">
            <w:r>
              <w:t>4</w:t>
            </w:r>
          </w:p>
        </w:tc>
      </w:tr>
      <w:tr w:rsidR="00784329" w14:paraId="14E7C781" w14:textId="77777777" w:rsidTr="00AB395F">
        <w:tc>
          <w:tcPr>
            <w:tcW w:w="2356" w:type="dxa"/>
            <w:gridSpan w:val="2"/>
            <w:tcBorders>
              <w:left w:val="single" w:sz="12" w:space="0" w:color="auto"/>
            </w:tcBorders>
            <w:shd w:val="clear" w:color="auto" w:fill="auto"/>
          </w:tcPr>
          <w:p w14:paraId="41F19778" w14:textId="6A73595C" w:rsidR="00454097" w:rsidRDefault="00784329" w:rsidP="00784329">
            <w:r>
              <w:t>Gendergelijkheid</w:t>
            </w:r>
          </w:p>
        </w:tc>
        <w:tc>
          <w:tcPr>
            <w:tcW w:w="1762" w:type="dxa"/>
            <w:gridSpan w:val="2"/>
            <w:shd w:val="clear" w:color="auto" w:fill="auto"/>
          </w:tcPr>
          <w:p w14:paraId="6C4CA557" w14:textId="77777777" w:rsidR="00784329" w:rsidRDefault="00784329" w:rsidP="00784329"/>
        </w:tc>
        <w:tc>
          <w:tcPr>
            <w:tcW w:w="1844" w:type="dxa"/>
            <w:shd w:val="clear" w:color="auto" w:fill="auto"/>
          </w:tcPr>
          <w:p w14:paraId="536FF723" w14:textId="77777777" w:rsidR="00784329" w:rsidRDefault="00784329" w:rsidP="00784329"/>
        </w:tc>
        <w:tc>
          <w:tcPr>
            <w:tcW w:w="1735" w:type="dxa"/>
            <w:tcBorders>
              <w:right w:val="single" w:sz="12" w:space="0" w:color="auto"/>
            </w:tcBorders>
            <w:shd w:val="clear" w:color="auto" w:fill="auto"/>
          </w:tcPr>
          <w:p w14:paraId="0968CF5D" w14:textId="77777777" w:rsidR="00784329" w:rsidRDefault="00784329" w:rsidP="00784329">
            <w:r>
              <w:t>4</w:t>
            </w:r>
          </w:p>
        </w:tc>
      </w:tr>
      <w:tr w:rsidR="00784329" w14:paraId="655064B1" w14:textId="77777777" w:rsidTr="00AB395F">
        <w:tc>
          <w:tcPr>
            <w:tcW w:w="2356" w:type="dxa"/>
            <w:gridSpan w:val="2"/>
            <w:tcBorders>
              <w:left w:val="single" w:sz="12" w:space="0" w:color="auto"/>
            </w:tcBorders>
            <w:shd w:val="clear" w:color="auto" w:fill="auto"/>
          </w:tcPr>
          <w:p w14:paraId="7294C088" w14:textId="5E5F4FBC" w:rsidR="00454097" w:rsidRDefault="00784329" w:rsidP="00784329">
            <w:r>
              <w:t>Humanitaire hulp</w:t>
            </w:r>
          </w:p>
        </w:tc>
        <w:tc>
          <w:tcPr>
            <w:tcW w:w="1762" w:type="dxa"/>
            <w:gridSpan w:val="2"/>
            <w:shd w:val="clear" w:color="auto" w:fill="auto"/>
          </w:tcPr>
          <w:p w14:paraId="4FAB06A2" w14:textId="77777777" w:rsidR="00784329" w:rsidRDefault="00784329" w:rsidP="00784329">
            <w:r>
              <w:t>2</w:t>
            </w:r>
          </w:p>
        </w:tc>
        <w:tc>
          <w:tcPr>
            <w:tcW w:w="1844" w:type="dxa"/>
            <w:shd w:val="clear" w:color="auto" w:fill="auto"/>
          </w:tcPr>
          <w:p w14:paraId="6F2A5DF9" w14:textId="77777777" w:rsidR="00784329" w:rsidRDefault="00784329" w:rsidP="00784329">
            <w:r>
              <w:t>3</w:t>
            </w:r>
          </w:p>
        </w:tc>
        <w:tc>
          <w:tcPr>
            <w:tcW w:w="1735" w:type="dxa"/>
            <w:tcBorders>
              <w:right w:val="single" w:sz="12" w:space="0" w:color="auto"/>
            </w:tcBorders>
            <w:shd w:val="clear" w:color="auto" w:fill="auto"/>
          </w:tcPr>
          <w:p w14:paraId="47641397" w14:textId="77777777" w:rsidR="00784329" w:rsidRDefault="00784329" w:rsidP="00784329">
            <w:r>
              <w:t>4</w:t>
            </w:r>
          </w:p>
        </w:tc>
      </w:tr>
      <w:tr w:rsidR="00784329" w14:paraId="3CFF0760" w14:textId="77777777" w:rsidTr="00AB395F">
        <w:trPr>
          <w:trHeight w:val="220"/>
        </w:trPr>
        <w:tc>
          <w:tcPr>
            <w:tcW w:w="7697" w:type="dxa"/>
            <w:gridSpan w:val="6"/>
            <w:tcBorders>
              <w:top w:val="single" w:sz="12" w:space="0" w:color="auto"/>
              <w:left w:val="single" w:sz="12" w:space="0" w:color="auto"/>
              <w:right w:val="single" w:sz="12" w:space="0" w:color="auto"/>
            </w:tcBorders>
            <w:shd w:val="clear" w:color="auto" w:fill="BFBFBF" w:themeFill="background1" w:themeFillShade="BF"/>
          </w:tcPr>
          <w:p w14:paraId="7B6A6DB1" w14:textId="7CCB7790" w:rsidR="00784329" w:rsidRDefault="00784329" w:rsidP="00784329">
            <w:r>
              <w:rPr>
                <w:b/>
              </w:rPr>
              <w:t>Overige relevantie</w:t>
            </w:r>
          </w:p>
        </w:tc>
      </w:tr>
      <w:tr w:rsidR="00784329" w14:paraId="515D8AED" w14:textId="77777777" w:rsidTr="00AB395F">
        <w:tc>
          <w:tcPr>
            <w:tcW w:w="2345" w:type="dxa"/>
            <w:tcBorders>
              <w:top w:val="single" w:sz="12" w:space="0" w:color="auto"/>
              <w:left w:val="single" w:sz="12" w:space="0" w:color="auto"/>
              <w:bottom w:val="single" w:sz="12" w:space="0" w:color="auto"/>
            </w:tcBorders>
            <w:shd w:val="clear" w:color="auto" w:fill="auto"/>
          </w:tcPr>
          <w:p w14:paraId="1ECAD341" w14:textId="299BE22F" w:rsidR="00784329" w:rsidRDefault="00AB395F" w:rsidP="00784329">
            <w:r>
              <w:t>Wereldwijde volksgezondheid (ebola/</w:t>
            </w:r>
            <w:proofErr w:type="spellStart"/>
            <w:r>
              <w:t>zikavirus</w:t>
            </w:r>
            <w:proofErr w:type="spellEnd"/>
            <w:r>
              <w:t xml:space="preserve">) </w:t>
            </w:r>
          </w:p>
        </w:tc>
        <w:tc>
          <w:tcPr>
            <w:tcW w:w="1756" w:type="dxa"/>
            <w:gridSpan w:val="2"/>
            <w:tcBorders>
              <w:top w:val="single" w:sz="12" w:space="0" w:color="auto"/>
              <w:bottom w:val="single" w:sz="12" w:space="0" w:color="auto"/>
            </w:tcBorders>
            <w:shd w:val="clear" w:color="auto" w:fill="auto"/>
          </w:tcPr>
          <w:p w14:paraId="6617353C" w14:textId="77777777" w:rsidR="00784329" w:rsidRDefault="00784329" w:rsidP="00784329"/>
        </w:tc>
        <w:tc>
          <w:tcPr>
            <w:tcW w:w="1861" w:type="dxa"/>
            <w:gridSpan w:val="2"/>
            <w:tcBorders>
              <w:top w:val="single" w:sz="12" w:space="0" w:color="auto"/>
              <w:bottom w:val="single" w:sz="12" w:space="0" w:color="auto"/>
            </w:tcBorders>
            <w:shd w:val="clear" w:color="auto" w:fill="auto"/>
          </w:tcPr>
          <w:p w14:paraId="236229B9" w14:textId="77777777" w:rsidR="00784329" w:rsidRDefault="00784329" w:rsidP="00784329"/>
        </w:tc>
        <w:tc>
          <w:tcPr>
            <w:tcW w:w="1735" w:type="dxa"/>
            <w:tcBorders>
              <w:top w:val="single" w:sz="12" w:space="0" w:color="auto"/>
              <w:bottom w:val="single" w:sz="12" w:space="0" w:color="auto"/>
              <w:right w:val="single" w:sz="12" w:space="0" w:color="auto"/>
            </w:tcBorders>
            <w:shd w:val="clear" w:color="auto" w:fill="auto"/>
          </w:tcPr>
          <w:p w14:paraId="07E75967" w14:textId="77777777" w:rsidR="00784329" w:rsidRDefault="00784329" w:rsidP="00784329">
            <w:r>
              <w:t>4</w:t>
            </w:r>
          </w:p>
        </w:tc>
      </w:tr>
    </w:tbl>
    <w:p w14:paraId="73DAD703" w14:textId="77777777" w:rsidR="00784329" w:rsidRDefault="00784329" w:rsidP="00784329">
      <w:pPr>
        <w:pStyle w:val="ListParagraph"/>
      </w:pPr>
    </w:p>
    <w:p w14:paraId="27BF0C6B" w14:textId="72098FB4" w:rsidR="00784329" w:rsidRPr="00D745A7" w:rsidRDefault="00784329" w:rsidP="00784329">
      <w:pPr>
        <w:pStyle w:val="ListParagraph"/>
      </w:pPr>
      <w:r w:rsidRPr="00193994">
        <w:t xml:space="preserve">Beoordeling: </w:t>
      </w:r>
      <w:r>
        <w:t>Onvoldoende = 1, Matig = 2, Voldoende = 3, Goed</w:t>
      </w:r>
      <w:r w:rsidRPr="00193994">
        <w:t xml:space="preserve"> = 4</w:t>
      </w:r>
    </w:p>
    <w:p w14:paraId="759002B4" w14:textId="54051C59" w:rsidR="00B95FC2" w:rsidRPr="00734374" w:rsidRDefault="00784329" w:rsidP="00734374">
      <w:pPr>
        <w:pStyle w:val="Heading1"/>
        <w:tabs>
          <w:tab w:val="num" w:pos="0"/>
        </w:tabs>
        <w:spacing w:after="240" w:line="240" w:lineRule="auto"/>
        <w:ind w:hanging="1162"/>
      </w:pPr>
      <w:bookmarkStart w:id="27" w:name="_Toc491421095"/>
      <w:r>
        <w:lastRenderedPageBreak/>
        <w:t>2</w:t>
      </w:r>
      <w:r w:rsidR="00734374" w:rsidRPr="00734374">
        <w:t xml:space="preserve"> </w:t>
      </w:r>
      <w:r w:rsidR="00734374">
        <w:tab/>
      </w:r>
      <w:r w:rsidR="00AD0CCB" w:rsidRPr="00734374">
        <w:t>Inleiding</w:t>
      </w:r>
      <w:bookmarkEnd w:id="22"/>
      <w:bookmarkEnd w:id="27"/>
    </w:p>
    <w:p w14:paraId="02649FD7" w14:textId="77777777" w:rsidR="005D3322" w:rsidRDefault="005150FC" w:rsidP="005150FC">
      <w:pPr>
        <w:shd w:val="clear" w:color="auto" w:fill="FFFFFF"/>
        <w:spacing w:before="100" w:beforeAutospacing="1" w:after="100" w:afterAutospacing="1" w:line="240" w:lineRule="auto"/>
        <w:rPr>
          <w:szCs w:val="18"/>
          <w:lang w:eastAsia="zh-CN"/>
        </w:rPr>
      </w:pPr>
      <w:r>
        <w:rPr>
          <w:szCs w:val="18"/>
          <w:lang w:eastAsia="zh-CN"/>
        </w:rPr>
        <w:t xml:space="preserve">Scorecards worden opgesteld om het functioneren en de beleidsrelevantie van multilaterale organisaties in kaart te brengen. </w:t>
      </w:r>
      <w:r w:rsidR="00710978">
        <w:rPr>
          <w:szCs w:val="18"/>
          <w:lang w:eastAsia="zh-CN"/>
        </w:rPr>
        <w:t>D</w:t>
      </w:r>
      <w:r>
        <w:rPr>
          <w:szCs w:val="18"/>
          <w:lang w:eastAsia="zh-CN"/>
        </w:rPr>
        <w:t>e Nederlandse inzet in multilaterale organisaties word</w:t>
      </w:r>
      <w:r w:rsidR="00710978">
        <w:rPr>
          <w:szCs w:val="18"/>
          <w:lang w:eastAsia="zh-CN"/>
        </w:rPr>
        <w:t>t</w:t>
      </w:r>
      <w:r>
        <w:rPr>
          <w:szCs w:val="18"/>
          <w:lang w:eastAsia="zh-CN"/>
        </w:rPr>
        <w:t xml:space="preserve"> geconcentreerd op organ</w:t>
      </w:r>
      <w:r w:rsidR="007E1149">
        <w:rPr>
          <w:szCs w:val="18"/>
          <w:lang w:eastAsia="zh-CN"/>
        </w:rPr>
        <w:t xml:space="preserve">isaties </w:t>
      </w:r>
      <w:r w:rsidR="00A71A15">
        <w:rPr>
          <w:szCs w:val="18"/>
          <w:lang w:eastAsia="zh-CN"/>
        </w:rPr>
        <w:t xml:space="preserve">die effectief zijn en </w:t>
      </w:r>
      <w:r w:rsidR="007E1149">
        <w:rPr>
          <w:szCs w:val="18"/>
          <w:lang w:eastAsia="zh-CN"/>
        </w:rPr>
        <w:t>die relevant zijn voor</w:t>
      </w:r>
      <w:r>
        <w:rPr>
          <w:szCs w:val="18"/>
          <w:lang w:eastAsia="zh-CN"/>
        </w:rPr>
        <w:t xml:space="preserve"> het Nederlandse beleid</w:t>
      </w:r>
      <w:r w:rsidR="000C082E">
        <w:rPr>
          <w:szCs w:val="18"/>
          <w:lang w:eastAsia="zh-CN"/>
        </w:rPr>
        <w:t xml:space="preserve">, </w:t>
      </w:r>
      <w:r w:rsidR="00456C9B">
        <w:rPr>
          <w:szCs w:val="18"/>
          <w:lang w:eastAsia="zh-CN"/>
        </w:rPr>
        <w:t>of</w:t>
      </w:r>
      <w:r w:rsidR="000C082E">
        <w:rPr>
          <w:szCs w:val="18"/>
          <w:lang w:eastAsia="zh-CN"/>
        </w:rPr>
        <w:t xml:space="preserve"> een sleutelrol vervullen binnen de multilaterale architectuur als </w:t>
      </w:r>
      <w:r w:rsidR="00125028">
        <w:rPr>
          <w:szCs w:val="18"/>
          <w:lang w:eastAsia="zh-CN"/>
        </w:rPr>
        <w:t>“</w:t>
      </w:r>
      <w:r w:rsidR="000C082E">
        <w:rPr>
          <w:szCs w:val="18"/>
          <w:lang w:eastAsia="zh-CN"/>
        </w:rPr>
        <w:t>systeemorganisatie</w:t>
      </w:r>
      <w:r w:rsidR="00125028">
        <w:rPr>
          <w:szCs w:val="18"/>
          <w:lang w:eastAsia="zh-CN"/>
        </w:rPr>
        <w:t>”</w:t>
      </w:r>
      <w:r w:rsidR="000C082E">
        <w:rPr>
          <w:szCs w:val="18"/>
          <w:lang w:eastAsia="zh-CN"/>
        </w:rPr>
        <w:t xml:space="preserve">. </w:t>
      </w:r>
      <w:r w:rsidR="00967346">
        <w:rPr>
          <w:szCs w:val="18"/>
          <w:lang w:eastAsia="zh-CN"/>
        </w:rPr>
        <w:t>Dit vraagt om</w:t>
      </w:r>
      <w:r>
        <w:rPr>
          <w:szCs w:val="18"/>
          <w:lang w:eastAsia="zh-CN"/>
        </w:rPr>
        <w:t xml:space="preserve"> zorgvuldige en regelmatige toetsing. </w:t>
      </w:r>
      <w:r w:rsidR="005D3322">
        <w:rPr>
          <w:szCs w:val="18"/>
          <w:lang w:eastAsia="zh-CN"/>
        </w:rPr>
        <w:t>Het streven is om scorecards</w:t>
      </w:r>
      <w:r w:rsidR="00DB2280">
        <w:rPr>
          <w:szCs w:val="18"/>
          <w:lang w:eastAsia="zh-CN"/>
        </w:rPr>
        <w:t xml:space="preserve"> op te stellen voor de</w:t>
      </w:r>
      <w:r w:rsidR="005D3322">
        <w:rPr>
          <w:szCs w:val="18"/>
          <w:lang w:eastAsia="zh-CN"/>
        </w:rPr>
        <w:t xml:space="preserve"> </w:t>
      </w:r>
      <w:r w:rsidR="00A2455B">
        <w:rPr>
          <w:szCs w:val="18"/>
          <w:lang w:eastAsia="zh-CN"/>
        </w:rPr>
        <w:t xml:space="preserve">VN Fondsen en </w:t>
      </w:r>
      <w:r w:rsidR="00223E42">
        <w:rPr>
          <w:szCs w:val="18"/>
          <w:lang w:eastAsia="zh-CN"/>
        </w:rPr>
        <w:t xml:space="preserve">Programma’s, </w:t>
      </w:r>
      <w:r w:rsidR="003B4CB4">
        <w:rPr>
          <w:szCs w:val="18"/>
          <w:lang w:eastAsia="zh-CN"/>
        </w:rPr>
        <w:t xml:space="preserve">de Internationale </w:t>
      </w:r>
      <w:r w:rsidR="00F613E9">
        <w:rPr>
          <w:szCs w:val="18"/>
          <w:lang w:eastAsia="zh-CN"/>
        </w:rPr>
        <w:t>Financiële</w:t>
      </w:r>
      <w:r w:rsidR="003B4CB4">
        <w:rPr>
          <w:szCs w:val="18"/>
          <w:lang w:eastAsia="zh-CN"/>
        </w:rPr>
        <w:t xml:space="preserve"> Instellingen</w:t>
      </w:r>
      <w:r w:rsidR="006157BA">
        <w:rPr>
          <w:szCs w:val="18"/>
          <w:lang w:eastAsia="zh-CN"/>
        </w:rPr>
        <w:t xml:space="preserve"> (</w:t>
      </w:r>
      <w:proofErr w:type="spellStart"/>
      <w:r w:rsidR="006157BA">
        <w:rPr>
          <w:szCs w:val="18"/>
          <w:lang w:eastAsia="zh-CN"/>
        </w:rPr>
        <w:t>IFI's</w:t>
      </w:r>
      <w:proofErr w:type="spellEnd"/>
      <w:r w:rsidR="006157BA">
        <w:rPr>
          <w:szCs w:val="18"/>
          <w:lang w:eastAsia="zh-CN"/>
        </w:rPr>
        <w:t>)</w:t>
      </w:r>
      <w:r w:rsidR="003B4CB4">
        <w:rPr>
          <w:szCs w:val="18"/>
          <w:lang w:eastAsia="zh-CN"/>
        </w:rPr>
        <w:t xml:space="preserve">, </w:t>
      </w:r>
      <w:r w:rsidR="00223E42">
        <w:rPr>
          <w:szCs w:val="18"/>
          <w:lang w:eastAsia="zh-CN"/>
        </w:rPr>
        <w:t>de voor</w:t>
      </w:r>
      <w:r w:rsidR="00EB6285">
        <w:rPr>
          <w:szCs w:val="18"/>
          <w:lang w:eastAsia="zh-CN"/>
        </w:rPr>
        <w:t xml:space="preserve"> het</w:t>
      </w:r>
      <w:r w:rsidR="00223E42">
        <w:rPr>
          <w:szCs w:val="18"/>
          <w:lang w:eastAsia="zh-CN"/>
        </w:rPr>
        <w:t xml:space="preserve"> Nederlands beleid </w:t>
      </w:r>
      <w:r w:rsidR="006157BA">
        <w:rPr>
          <w:szCs w:val="18"/>
          <w:lang w:eastAsia="zh-CN"/>
        </w:rPr>
        <w:t xml:space="preserve">voor Buitenlandse Handel en Ontwikkelingssamenwerking (BHOS) </w:t>
      </w:r>
      <w:r w:rsidR="00223E42">
        <w:rPr>
          <w:szCs w:val="18"/>
          <w:lang w:eastAsia="zh-CN"/>
        </w:rPr>
        <w:t>relevante gespecialiseerde VN-organisaties en kantoren, en de majeure wereldwijde fondsen</w:t>
      </w:r>
      <w:r w:rsidR="00A37B8E">
        <w:rPr>
          <w:szCs w:val="18"/>
          <w:lang w:eastAsia="zh-CN"/>
        </w:rPr>
        <w:t>;</w:t>
      </w:r>
      <w:r w:rsidR="00223E42">
        <w:rPr>
          <w:szCs w:val="18"/>
          <w:lang w:eastAsia="zh-CN"/>
        </w:rPr>
        <w:t xml:space="preserve"> </w:t>
      </w:r>
      <w:r w:rsidR="005D3322">
        <w:rPr>
          <w:szCs w:val="18"/>
          <w:lang w:eastAsia="zh-CN"/>
        </w:rPr>
        <w:t xml:space="preserve">multilaterale organisaties waaraan Nederland een substantiële ODA-bijdrage levert. De relevantie wordt primair getoetst aan het Nederlandse </w:t>
      </w:r>
      <w:r w:rsidR="006157BA">
        <w:rPr>
          <w:szCs w:val="18"/>
          <w:lang w:eastAsia="zh-CN"/>
        </w:rPr>
        <w:t>BHOS-</w:t>
      </w:r>
      <w:r w:rsidR="005D3322">
        <w:rPr>
          <w:szCs w:val="18"/>
          <w:lang w:eastAsia="zh-CN"/>
        </w:rPr>
        <w:t>beleid</w:t>
      </w:r>
      <w:r w:rsidR="00EB6285">
        <w:rPr>
          <w:szCs w:val="18"/>
          <w:lang w:eastAsia="zh-CN"/>
        </w:rPr>
        <w:t xml:space="preserve"> </w:t>
      </w:r>
      <w:r w:rsidR="005D3322">
        <w:rPr>
          <w:szCs w:val="18"/>
          <w:lang w:eastAsia="zh-CN"/>
        </w:rPr>
        <w:t xml:space="preserve">de bredere betekenis van multilaterale instellingen voor andere aspecten van Nederlands beleid wordt </w:t>
      </w:r>
      <w:r w:rsidR="00A8630D">
        <w:rPr>
          <w:szCs w:val="18"/>
          <w:lang w:eastAsia="zh-CN"/>
        </w:rPr>
        <w:t>waar relevant</w:t>
      </w:r>
      <w:r w:rsidR="005D3322">
        <w:rPr>
          <w:szCs w:val="18"/>
          <w:lang w:eastAsia="zh-CN"/>
        </w:rPr>
        <w:t xml:space="preserve"> meegenomen.</w:t>
      </w:r>
    </w:p>
    <w:p w14:paraId="69549C39" w14:textId="77777777" w:rsidR="005150FC" w:rsidRPr="00307981" w:rsidRDefault="005150FC" w:rsidP="005150FC">
      <w:pPr>
        <w:shd w:val="clear" w:color="auto" w:fill="FFFFFF"/>
        <w:spacing w:before="100" w:beforeAutospacing="1" w:after="100" w:afterAutospacing="1" w:line="240" w:lineRule="auto"/>
        <w:rPr>
          <w:szCs w:val="18"/>
          <w:lang w:eastAsia="zh-CN"/>
        </w:rPr>
      </w:pPr>
      <w:r>
        <w:rPr>
          <w:szCs w:val="18"/>
          <w:lang w:eastAsia="zh-CN"/>
        </w:rPr>
        <w:t>Elke</w:t>
      </w:r>
      <w:r w:rsidRPr="00307981">
        <w:rPr>
          <w:szCs w:val="18"/>
          <w:lang w:eastAsia="zh-CN"/>
        </w:rPr>
        <w:t xml:space="preserve"> scorecard ge</w:t>
      </w:r>
      <w:r>
        <w:rPr>
          <w:szCs w:val="18"/>
          <w:lang w:eastAsia="zh-CN"/>
        </w:rPr>
        <w:t>eft</w:t>
      </w:r>
      <w:r w:rsidRPr="00307981">
        <w:rPr>
          <w:szCs w:val="18"/>
          <w:lang w:eastAsia="zh-CN"/>
        </w:rPr>
        <w:t xml:space="preserve"> een overzicht van de doelstellingen</w:t>
      </w:r>
      <w:r w:rsidR="00C1320B">
        <w:rPr>
          <w:szCs w:val="18"/>
          <w:lang w:eastAsia="zh-CN"/>
        </w:rPr>
        <w:t>,</w:t>
      </w:r>
      <w:r w:rsidRPr="00307981">
        <w:rPr>
          <w:szCs w:val="18"/>
          <w:lang w:eastAsia="zh-CN"/>
        </w:rPr>
        <w:t xml:space="preserve"> het mandaat </w:t>
      </w:r>
      <w:r w:rsidR="00C1320B">
        <w:rPr>
          <w:szCs w:val="18"/>
          <w:lang w:eastAsia="zh-CN"/>
        </w:rPr>
        <w:t xml:space="preserve">en de kernkwaliteiten </w:t>
      </w:r>
      <w:r w:rsidR="006569DB">
        <w:rPr>
          <w:szCs w:val="18"/>
          <w:lang w:eastAsia="zh-CN"/>
        </w:rPr>
        <w:t xml:space="preserve">van de </w:t>
      </w:r>
      <w:r w:rsidRPr="00307981">
        <w:rPr>
          <w:szCs w:val="18"/>
          <w:lang w:eastAsia="zh-CN"/>
        </w:rPr>
        <w:t xml:space="preserve">betreffende internationale </w:t>
      </w:r>
      <w:r>
        <w:rPr>
          <w:szCs w:val="18"/>
          <w:lang w:eastAsia="zh-CN"/>
        </w:rPr>
        <w:t>instelling</w:t>
      </w:r>
      <w:r w:rsidRPr="00307981">
        <w:rPr>
          <w:szCs w:val="18"/>
          <w:lang w:eastAsia="zh-CN"/>
        </w:rPr>
        <w:t xml:space="preserve">, van de wijze waarop de organisatie </w:t>
      </w:r>
      <w:r>
        <w:rPr>
          <w:szCs w:val="18"/>
          <w:lang w:eastAsia="zh-CN"/>
        </w:rPr>
        <w:t>is ingericht en welke activiteiten ze</w:t>
      </w:r>
      <w:r w:rsidRPr="00307981">
        <w:rPr>
          <w:szCs w:val="18"/>
          <w:lang w:eastAsia="zh-CN"/>
        </w:rPr>
        <w:t xml:space="preserve"> uitvoert, van de financiële omvang en de Nederlandse bijdragen</w:t>
      </w:r>
      <w:r>
        <w:rPr>
          <w:szCs w:val="18"/>
          <w:lang w:eastAsia="zh-CN"/>
        </w:rPr>
        <w:t>. Op basis van een analyse van de verschillende deelaspecten wordt een</w:t>
      </w:r>
      <w:r w:rsidRPr="00307981">
        <w:rPr>
          <w:szCs w:val="18"/>
          <w:lang w:eastAsia="zh-CN"/>
        </w:rPr>
        <w:t xml:space="preserve"> appreciatie </w:t>
      </w:r>
      <w:r>
        <w:rPr>
          <w:szCs w:val="18"/>
          <w:lang w:eastAsia="zh-CN"/>
        </w:rPr>
        <w:t xml:space="preserve">gegeven </w:t>
      </w:r>
      <w:r w:rsidRPr="00307981">
        <w:rPr>
          <w:szCs w:val="18"/>
          <w:lang w:eastAsia="zh-CN"/>
        </w:rPr>
        <w:t xml:space="preserve">van de </w:t>
      </w:r>
      <w:r w:rsidR="008735BA">
        <w:rPr>
          <w:szCs w:val="18"/>
          <w:lang w:eastAsia="zh-CN"/>
        </w:rPr>
        <w:t xml:space="preserve">organisatorische </w:t>
      </w:r>
      <w:r w:rsidR="00AB5963">
        <w:rPr>
          <w:szCs w:val="18"/>
          <w:lang w:eastAsia="zh-CN"/>
        </w:rPr>
        <w:t>effectiviteit</w:t>
      </w:r>
      <w:r w:rsidRPr="00307981">
        <w:rPr>
          <w:szCs w:val="18"/>
          <w:lang w:eastAsia="zh-CN"/>
        </w:rPr>
        <w:t xml:space="preserve"> en van de relevantie </w:t>
      </w:r>
      <w:r w:rsidR="00456A79">
        <w:rPr>
          <w:szCs w:val="18"/>
          <w:lang w:eastAsia="zh-CN"/>
        </w:rPr>
        <w:t xml:space="preserve">voor </w:t>
      </w:r>
      <w:r w:rsidRPr="00307981">
        <w:rPr>
          <w:szCs w:val="18"/>
          <w:lang w:eastAsia="zh-CN"/>
        </w:rPr>
        <w:t>de Nederlandse beleidsdoelstellingen.</w:t>
      </w:r>
      <w:r w:rsidR="005D3322">
        <w:rPr>
          <w:szCs w:val="18"/>
          <w:lang w:eastAsia="zh-CN"/>
        </w:rPr>
        <w:t xml:space="preserve"> </w:t>
      </w:r>
      <w:r w:rsidR="00F3652C">
        <w:rPr>
          <w:szCs w:val="18"/>
          <w:lang w:eastAsia="zh-CN"/>
        </w:rPr>
        <w:t xml:space="preserve">Er </w:t>
      </w:r>
      <w:r w:rsidR="00BB7ABD">
        <w:rPr>
          <w:szCs w:val="18"/>
          <w:lang w:eastAsia="zh-CN"/>
        </w:rPr>
        <w:t xml:space="preserve">wordt een appreciatie gegeven van de mate waarin organisaties voor het Nederlandse BHOS-beleid relevante resultaten behalen. </w:t>
      </w:r>
      <w:r w:rsidR="005D3322">
        <w:rPr>
          <w:szCs w:val="18"/>
          <w:lang w:eastAsia="zh-CN"/>
        </w:rPr>
        <w:t xml:space="preserve">Deelaspecten van effectiviteit worden beoordeeld op basis van specifieke criteria en gescoord op een </w:t>
      </w:r>
      <w:proofErr w:type="spellStart"/>
      <w:r w:rsidR="005D3322">
        <w:rPr>
          <w:szCs w:val="18"/>
          <w:lang w:eastAsia="zh-CN"/>
        </w:rPr>
        <w:t>vierpuntsschaal</w:t>
      </w:r>
      <w:proofErr w:type="spellEnd"/>
      <w:r w:rsidR="005D3322">
        <w:rPr>
          <w:szCs w:val="18"/>
          <w:lang w:eastAsia="zh-CN"/>
        </w:rPr>
        <w:t xml:space="preserve"> van onvoldoende, matig, voldoende en </w:t>
      </w:r>
      <w:r w:rsidR="0014161D">
        <w:rPr>
          <w:szCs w:val="18"/>
          <w:lang w:eastAsia="zh-CN"/>
        </w:rPr>
        <w:t>uitstekend</w:t>
      </w:r>
      <w:r w:rsidR="005D3322">
        <w:rPr>
          <w:szCs w:val="18"/>
          <w:lang w:eastAsia="zh-CN"/>
        </w:rPr>
        <w:t xml:space="preserve">. Daarnaast </w:t>
      </w:r>
      <w:r w:rsidR="0014161D">
        <w:rPr>
          <w:szCs w:val="18"/>
          <w:lang w:eastAsia="zh-CN"/>
        </w:rPr>
        <w:t>wordt aangegeven of de organisatie een positieve, een negatieve of een neutrale ontwikkeling heeft doorgemaakt sinds de scorecard 2015.</w:t>
      </w:r>
      <w:r w:rsidR="005D3322">
        <w:rPr>
          <w:szCs w:val="18"/>
          <w:lang w:eastAsia="zh-CN"/>
        </w:rPr>
        <w:t xml:space="preserve"> </w:t>
      </w:r>
      <w:r w:rsidR="00EE1DC0">
        <w:rPr>
          <w:szCs w:val="18"/>
          <w:lang w:eastAsia="zh-CN"/>
        </w:rPr>
        <w:t>Beleidsmatige r</w:t>
      </w:r>
      <w:r w:rsidR="005D3322">
        <w:rPr>
          <w:szCs w:val="18"/>
          <w:lang w:eastAsia="zh-CN"/>
        </w:rPr>
        <w:t xml:space="preserve">elevantie </w:t>
      </w:r>
      <w:r w:rsidR="00EE1DC0">
        <w:rPr>
          <w:szCs w:val="18"/>
          <w:lang w:eastAsia="zh-CN"/>
        </w:rPr>
        <w:t>en impact</w:t>
      </w:r>
      <w:r w:rsidR="00770864">
        <w:rPr>
          <w:szCs w:val="18"/>
          <w:lang w:eastAsia="zh-CN"/>
        </w:rPr>
        <w:t xml:space="preserve"> (resultaten)</w:t>
      </w:r>
      <w:r w:rsidR="00EE1DC0">
        <w:rPr>
          <w:szCs w:val="18"/>
          <w:lang w:eastAsia="zh-CN"/>
        </w:rPr>
        <w:t xml:space="preserve"> worden </w:t>
      </w:r>
      <w:r w:rsidR="005D3322">
        <w:rPr>
          <w:szCs w:val="18"/>
          <w:lang w:eastAsia="zh-CN"/>
        </w:rPr>
        <w:t>aangeduid met de kwalificaties relevant, beperkt relevant en niet relevant. Een samenvatting van al deze scores is te vind</w:t>
      </w:r>
      <w:r w:rsidR="005A463A">
        <w:rPr>
          <w:szCs w:val="18"/>
          <w:lang w:eastAsia="zh-CN"/>
        </w:rPr>
        <w:t>en in de tabellen in hoofdstuk 5</w:t>
      </w:r>
      <w:r w:rsidR="005D3322">
        <w:rPr>
          <w:szCs w:val="18"/>
          <w:lang w:eastAsia="zh-CN"/>
        </w:rPr>
        <w:t>.</w:t>
      </w:r>
    </w:p>
    <w:p w14:paraId="6DFA1B7C" w14:textId="77777777" w:rsidR="005150FC" w:rsidRPr="00307981" w:rsidRDefault="005150FC" w:rsidP="005150FC">
      <w:pPr>
        <w:shd w:val="clear" w:color="auto" w:fill="FFFFFF"/>
        <w:spacing w:before="100" w:beforeAutospacing="1" w:after="100" w:afterAutospacing="1" w:line="240" w:lineRule="auto"/>
        <w:rPr>
          <w:szCs w:val="18"/>
          <w:lang w:eastAsia="zh-CN"/>
        </w:rPr>
      </w:pPr>
      <w:r w:rsidRPr="00307981">
        <w:rPr>
          <w:szCs w:val="18"/>
          <w:lang w:eastAsia="zh-CN"/>
        </w:rPr>
        <w:t xml:space="preserve">De scorecards </w:t>
      </w:r>
      <w:r>
        <w:rPr>
          <w:szCs w:val="18"/>
          <w:lang w:eastAsia="zh-CN"/>
        </w:rPr>
        <w:t>zijn</w:t>
      </w:r>
      <w:r w:rsidRPr="00307981">
        <w:rPr>
          <w:szCs w:val="18"/>
          <w:lang w:eastAsia="zh-CN"/>
        </w:rPr>
        <w:t xml:space="preserve"> samengesteld op basis van rapportages van de organisatie zelf, van de </w:t>
      </w:r>
      <w:r w:rsidRPr="00CA5BC9">
        <w:rPr>
          <w:i/>
          <w:szCs w:val="18"/>
          <w:lang w:eastAsia="zh-CN"/>
        </w:rPr>
        <w:t>Board of Auditors</w:t>
      </w:r>
      <w:r w:rsidRPr="00307981">
        <w:rPr>
          <w:szCs w:val="18"/>
          <w:lang w:eastAsia="zh-CN"/>
        </w:rPr>
        <w:t xml:space="preserve">, </w:t>
      </w:r>
      <w:r>
        <w:rPr>
          <w:szCs w:val="18"/>
          <w:lang w:eastAsia="zh-CN"/>
        </w:rPr>
        <w:t xml:space="preserve">interne en externe </w:t>
      </w:r>
      <w:r w:rsidRPr="00307981">
        <w:rPr>
          <w:szCs w:val="18"/>
          <w:lang w:eastAsia="zh-CN"/>
        </w:rPr>
        <w:t>evaluaties</w:t>
      </w:r>
      <w:r w:rsidR="00AC567F">
        <w:rPr>
          <w:szCs w:val="18"/>
          <w:lang w:eastAsia="zh-CN"/>
        </w:rPr>
        <w:t>,</w:t>
      </w:r>
      <w:r w:rsidRPr="00307981">
        <w:rPr>
          <w:szCs w:val="18"/>
          <w:lang w:eastAsia="zh-CN"/>
        </w:rPr>
        <w:t xml:space="preserve"> </w:t>
      </w:r>
      <w:r>
        <w:rPr>
          <w:szCs w:val="18"/>
          <w:lang w:eastAsia="zh-CN"/>
        </w:rPr>
        <w:t xml:space="preserve">beoordelingen door andere donoren en </w:t>
      </w:r>
      <w:r w:rsidRPr="00307981">
        <w:rPr>
          <w:szCs w:val="18"/>
          <w:lang w:eastAsia="zh-CN"/>
        </w:rPr>
        <w:t xml:space="preserve">van het </w:t>
      </w:r>
      <w:proofErr w:type="spellStart"/>
      <w:r w:rsidRPr="00AF36B0">
        <w:rPr>
          <w:i/>
          <w:szCs w:val="18"/>
          <w:lang w:eastAsia="zh-CN"/>
        </w:rPr>
        <w:t>Multilateral</w:t>
      </w:r>
      <w:proofErr w:type="spellEnd"/>
      <w:r w:rsidRPr="00AF36B0">
        <w:rPr>
          <w:i/>
          <w:szCs w:val="18"/>
          <w:lang w:eastAsia="zh-CN"/>
        </w:rPr>
        <w:t xml:space="preserve"> </w:t>
      </w:r>
      <w:proofErr w:type="spellStart"/>
      <w:r w:rsidRPr="00AF36B0">
        <w:rPr>
          <w:i/>
          <w:szCs w:val="18"/>
          <w:lang w:eastAsia="zh-CN"/>
        </w:rPr>
        <w:t>Organisations</w:t>
      </w:r>
      <w:proofErr w:type="spellEnd"/>
      <w:r w:rsidRPr="00AF36B0">
        <w:rPr>
          <w:i/>
          <w:szCs w:val="18"/>
          <w:lang w:eastAsia="zh-CN"/>
        </w:rPr>
        <w:t xml:space="preserve"> Performance Assessment Network</w:t>
      </w:r>
      <w:r w:rsidRPr="00307981">
        <w:rPr>
          <w:szCs w:val="18"/>
          <w:lang w:eastAsia="zh-CN"/>
        </w:rPr>
        <w:t xml:space="preserve"> (MOPAN)</w:t>
      </w:r>
      <w:r w:rsidR="00456C9B">
        <w:rPr>
          <w:szCs w:val="18"/>
          <w:lang w:eastAsia="zh-CN"/>
        </w:rPr>
        <w:t>.</w:t>
      </w:r>
      <w:r>
        <w:rPr>
          <w:rStyle w:val="FootnoteReference"/>
          <w:szCs w:val="18"/>
          <w:lang w:eastAsia="zh-CN"/>
        </w:rPr>
        <w:footnoteReference w:id="2"/>
      </w:r>
      <w:r>
        <w:rPr>
          <w:szCs w:val="18"/>
          <w:lang w:eastAsia="zh-CN"/>
        </w:rPr>
        <w:t xml:space="preserve"> </w:t>
      </w:r>
      <w:r w:rsidRPr="00307981">
        <w:rPr>
          <w:szCs w:val="18"/>
          <w:lang w:eastAsia="zh-CN"/>
        </w:rPr>
        <w:t>Daarnaast wordt om de input gevraagd van betrokken vakdepartementen, de Permanente Vertegenwoordigingen</w:t>
      </w:r>
      <w:r>
        <w:rPr>
          <w:szCs w:val="18"/>
          <w:lang w:eastAsia="zh-CN"/>
        </w:rPr>
        <w:t xml:space="preserve"> en</w:t>
      </w:r>
      <w:r w:rsidRPr="00307981">
        <w:rPr>
          <w:szCs w:val="18"/>
          <w:lang w:eastAsia="zh-CN"/>
        </w:rPr>
        <w:t xml:space="preserve"> </w:t>
      </w:r>
      <w:proofErr w:type="spellStart"/>
      <w:r w:rsidRPr="00307981">
        <w:rPr>
          <w:szCs w:val="18"/>
          <w:lang w:eastAsia="zh-CN"/>
        </w:rPr>
        <w:t>Kiesgroepkantoren</w:t>
      </w:r>
      <w:proofErr w:type="spellEnd"/>
      <w:r w:rsidRPr="00307981">
        <w:rPr>
          <w:szCs w:val="18"/>
          <w:lang w:eastAsia="zh-CN"/>
        </w:rPr>
        <w:t xml:space="preserve">. Ook </w:t>
      </w:r>
      <w:r w:rsidR="004E60C0">
        <w:rPr>
          <w:szCs w:val="18"/>
          <w:lang w:eastAsia="zh-CN"/>
        </w:rPr>
        <w:t xml:space="preserve">informatie </w:t>
      </w:r>
      <w:r>
        <w:rPr>
          <w:szCs w:val="18"/>
          <w:lang w:eastAsia="zh-CN"/>
        </w:rPr>
        <w:t xml:space="preserve">van ambassades </w:t>
      </w:r>
      <w:r w:rsidRPr="00307981">
        <w:rPr>
          <w:szCs w:val="18"/>
          <w:lang w:eastAsia="zh-CN"/>
        </w:rPr>
        <w:t xml:space="preserve">over het functioneren van landenkantoren </w:t>
      </w:r>
      <w:r>
        <w:rPr>
          <w:szCs w:val="18"/>
          <w:lang w:eastAsia="zh-CN"/>
        </w:rPr>
        <w:t>van multilaterale instellingen zijn</w:t>
      </w:r>
      <w:r w:rsidRPr="00307981">
        <w:rPr>
          <w:szCs w:val="18"/>
          <w:lang w:eastAsia="zh-CN"/>
        </w:rPr>
        <w:t xml:space="preserve"> in de scorecard </w:t>
      </w:r>
      <w:r w:rsidR="00710978">
        <w:rPr>
          <w:szCs w:val="18"/>
          <w:lang w:eastAsia="zh-CN"/>
        </w:rPr>
        <w:t>verwerkt</w:t>
      </w:r>
      <w:r>
        <w:rPr>
          <w:szCs w:val="18"/>
          <w:lang w:eastAsia="zh-CN"/>
        </w:rPr>
        <w:t>.</w:t>
      </w:r>
      <w:r w:rsidRPr="00307981">
        <w:rPr>
          <w:szCs w:val="18"/>
          <w:lang w:eastAsia="zh-CN"/>
        </w:rPr>
        <w:t xml:space="preserve"> </w:t>
      </w:r>
      <w:r w:rsidR="00AC567F">
        <w:rPr>
          <w:szCs w:val="18"/>
          <w:lang w:eastAsia="zh-CN"/>
        </w:rPr>
        <w:t>De s</w:t>
      </w:r>
      <w:r w:rsidRPr="00307981">
        <w:rPr>
          <w:szCs w:val="18"/>
          <w:lang w:eastAsia="zh-CN"/>
        </w:rPr>
        <w:t xml:space="preserve">corecards </w:t>
      </w:r>
      <w:r>
        <w:rPr>
          <w:szCs w:val="18"/>
          <w:lang w:eastAsia="zh-CN"/>
        </w:rPr>
        <w:t xml:space="preserve">worden </w:t>
      </w:r>
      <w:r w:rsidR="002633CA">
        <w:rPr>
          <w:szCs w:val="18"/>
          <w:lang w:eastAsia="zh-CN"/>
        </w:rPr>
        <w:t xml:space="preserve">iedere twee jaar </w:t>
      </w:r>
      <w:r w:rsidRPr="00307981">
        <w:rPr>
          <w:szCs w:val="18"/>
          <w:lang w:eastAsia="zh-CN"/>
        </w:rPr>
        <w:t>geactualiseerd</w:t>
      </w:r>
      <w:r w:rsidR="002C77AF">
        <w:rPr>
          <w:szCs w:val="18"/>
          <w:lang w:eastAsia="zh-CN"/>
        </w:rPr>
        <w:t>.</w:t>
      </w:r>
      <w:r w:rsidRPr="00307981">
        <w:rPr>
          <w:szCs w:val="18"/>
          <w:lang w:eastAsia="zh-CN"/>
        </w:rPr>
        <w:t xml:space="preserve"> </w:t>
      </w:r>
    </w:p>
    <w:p w14:paraId="2EFD60A7" w14:textId="77777777" w:rsidR="00307981" w:rsidRPr="00307981" w:rsidRDefault="00307981" w:rsidP="00307981"/>
    <w:p w14:paraId="4971C334" w14:textId="2876CC78" w:rsidR="00D745A7" w:rsidRDefault="00784329" w:rsidP="00F24A31">
      <w:pPr>
        <w:pStyle w:val="Heading1"/>
        <w:tabs>
          <w:tab w:val="num" w:pos="0"/>
        </w:tabs>
        <w:spacing w:after="240" w:line="240" w:lineRule="auto"/>
        <w:ind w:hanging="1162"/>
      </w:pPr>
      <w:bookmarkStart w:id="28" w:name="_Toc491421096"/>
      <w:r>
        <w:lastRenderedPageBreak/>
        <w:t>3</w:t>
      </w:r>
      <w:r w:rsidR="00F24A31">
        <w:t xml:space="preserve"> </w:t>
      </w:r>
      <w:r w:rsidR="00F24A31">
        <w:tab/>
      </w:r>
      <w:r w:rsidR="00D745A7">
        <w:t>Algemene achtergrond</w:t>
      </w:r>
      <w:bookmarkEnd w:id="28"/>
    </w:p>
    <w:p w14:paraId="5A920797" w14:textId="77777777" w:rsidR="00784329" w:rsidRPr="00784329" w:rsidRDefault="00784329" w:rsidP="00784329">
      <w:pPr>
        <w:pStyle w:val="ListParagraph"/>
        <w:keepNext/>
        <w:widowControl w:val="0"/>
        <w:numPr>
          <w:ilvl w:val="0"/>
          <w:numId w:val="21"/>
        </w:numPr>
        <w:tabs>
          <w:tab w:val="left" w:pos="-1162"/>
          <w:tab w:val="left" w:pos="0"/>
        </w:tabs>
        <w:spacing w:before="200" w:line="240" w:lineRule="auto"/>
        <w:outlineLvl w:val="1"/>
        <w:rPr>
          <w:rFonts w:cs="Arial"/>
          <w:b/>
          <w:iCs/>
          <w:vanish/>
          <w:kern w:val="32"/>
          <w:szCs w:val="28"/>
        </w:rPr>
      </w:pPr>
    </w:p>
    <w:p w14:paraId="6479FB79" w14:textId="77777777" w:rsidR="00784329" w:rsidRPr="00784329" w:rsidRDefault="00784329" w:rsidP="00784329">
      <w:pPr>
        <w:pStyle w:val="ListParagraph"/>
        <w:keepNext/>
        <w:widowControl w:val="0"/>
        <w:numPr>
          <w:ilvl w:val="0"/>
          <w:numId w:val="21"/>
        </w:numPr>
        <w:tabs>
          <w:tab w:val="left" w:pos="-1162"/>
          <w:tab w:val="left" w:pos="0"/>
        </w:tabs>
        <w:spacing w:before="200" w:line="240" w:lineRule="auto"/>
        <w:outlineLvl w:val="1"/>
        <w:rPr>
          <w:rFonts w:cs="Arial"/>
          <w:b/>
          <w:iCs/>
          <w:vanish/>
          <w:kern w:val="32"/>
          <w:szCs w:val="28"/>
        </w:rPr>
      </w:pPr>
    </w:p>
    <w:p w14:paraId="2C5A883F" w14:textId="3A664596" w:rsidR="006C1EB0" w:rsidRDefault="00AE6CA2" w:rsidP="00784329">
      <w:pPr>
        <w:pStyle w:val="Heading2"/>
        <w:numPr>
          <w:ilvl w:val="1"/>
          <w:numId w:val="21"/>
        </w:numPr>
        <w:tabs>
          <w:tab w:val="left" w:pos="-1162"/>
          <w:tab w:val="left" w:pos="0"/>
        </w:tabs>
        <w:spacing w:line="240" w:lineRule="auto"/>
      </w:pPr>
      <w:r>
        <w:t xml:space="preserve"> </w:t>
      </w:r>
      <w:r w:rsidR="00546466">
        <w:tab/>
      </w:r>
      <w:bookmarkStart w:id="29" w:name="_Toc491421097"/>
      <w:r w:rsidR="0055776D">
        <w:t>Doelstelling</w:t>
      </w:r>
      <w:r w:rsidR="00FC6EC6">
        <w:t xml:space="preserve"> en toegevoegde waarde</w:t>
      </w:r>
      <w:bookmarkEnd w:id="29"/>
    </w:p>
    <w:p w14:paraId="5DACD570" w14:textId="6DB1B63C" w:rsidR="00187332" w:rsidRDefault="001F29D9" w:rsidP="00992969">
      <w:r>
        <w:t>De Wereldgezondheidsorganisatie (WHO) is op 7 april 1948 opgericht als één van de eerste gespecialiseerde organisaties van de Verenigde Naties (VN).</w:t>
      </w:r>
      <w:r w:rsidR="000F6B5C">
        <w:t xml:space="preserve"> De WHO is dé</w:t>
      </w:r>
      <w:r w:rsidR="000F6B5C" w:rsidRPr="00AA639E">
        <w:t xml:space="preserve"> mondiale normerende gezondheidsorganisatie. Het normerende werk van de WHO bestrijkt een breed terrein van </w:t>
      </w:r>
      <w:r w:rsidR="000F6B5C">
        <w:t>het bestrijden van infectieziekten</w:t>
      </w:r>
      <w:r w:rsidR="000F6B5C" w:rsidRPr="00AA639E">
        <w:t xml:space="preserve"> tot chronische ziekten en van drinkwaterkwaliteit tot crisisbeheersing bij grensoverschrijdende gezondheidscrises.</w:t>
      </w:r>
      <w:r>
        <w:t xml:space="preserve"> </w:t>
      </w:r>
      <w:r w:rsidRPr="00411C9E">
        <w:t>Het mandaat van de WHO is vastgelegd in artikel 1 van de constitutie: ‘</w:t>
      </w:r>
      <w:r w:rsidRPr="00AC3469">
        <w:rPr>
          <w:i/>
        </w:rPr>
        <w:t>het bereiken van het hoogst mogelijke niveau van gezondheid voor alle mensen</w:t>
      </w:r>
      <w:r w:rsidRPr="00411C9E">
        <w:t>’.</w:t>
      </w:r>
      <w:r w:rsidR="00E83485">
        <w:t xml:space="preserve"> H</w:t>
      </w:r>
      <w:r w:rsidRPr="00411C9E">
        <w:t>ierbij</w:t>
      </w:r>
      <w:r w:rsidR="00E83485">
        <w:t xml:space="preserve"> is</w:t>
      </w:r>
      <w:r w:rsidRPr="00411C9E">
        <w:t xml:space="preserve"> voor een brede, niet alleen medische definitie van gezondheid gekozen</w:t>
      </w:r>
      <w:r w:rsidR="00E83485">
        <w:t>,</w:t>
      </w:r>
      <w:r w:rsidRPr="00411C9E">
        <w:t xml:space="preserve"> waardoor niet alleen naar de afwezigheid van ziekten wordt gekeken maar ook </w:t>
      </w:r>
      <w:r>
        <w:t xml:space="preserve">naar </w:t>
      </w:r>
      <w:r w:rsidRPr="00411C9E">
        <w:t>de complete fysieke, mentale en sociale staat van de mens.</w:t>
      </w:r>
      <w:r w:rsidR="006157BA">
        <w:t xml:space="preserve"> </w:t>
      </w:r>
      <w:r>
        <w:t xml:space="preserve">Het mandaat is gericht op het vaststellen van normen en standaarden, het monitoren van de wereldwijde gezondheidssituatie, het adviseren en assisteren van de lidstaten betreffende gezondheidsbeleid (inclusief zorg), </w:t>
      </w:r>
      <w:r w:rsidR="00A30423">
        <w:t xml:space="preserve">vormgeven </w:t>
      </w:r>
      <w:r>
        <w:t xml:space="preserve">van de mondiale onderzoekagenda en het coördineren van humanitaire hulp op het gebied van gezondheid. </w:t>
      </w:r>
      <w:r w:rsidR="002B431F">
        <w:t xml:space="preserve">Daarbij zet de WHO zich in voor het integreren van de </w:t>
      </w:r>
      <w:r w:rsidR="005C1A98">
        <w:t>gezondheid gerelateerde</w:t>
      </w:r>
      <w:r w:rsidR="00A30423">
        <w:t xml:space="preserve"> </w:t>
      </w:r>
      <w:proofErr w:type="spellStart"/>
      <w:r w:rsidR="005C1A98" w:rsidRPr="00546466">
        <w:rPr>
          <w:i/>
        </w:rPr>
        <w:t>S</w:t>
      </w:r>
      <w:r w:rsidR="006157BA" w:rsidRPr="00546466">
        <w:rPr>
          <w:i/>
        </w:rPr>
        <w:t>ustainable</w:t>
      </w:r>
      <w:proofErr w:type="spellEnd"/>
      <w:r w:rsidR="006157BA" w:rsidRPr="00546466">
        <w:rPr>
          <w:i/>
        </w:rPr>
        <w:t xml:space="preserve"> Development Goals</w:t>
      </w:r>
      <w:r w:rsidR="006157BA">
        <w:t xml:space="preserve"> (</w:t>
      </w:r>
      <w:proofErr w:type="spellStart"/>
      <w:r w:rsidR="006157BA">
        <w:t>S</w:t>
      </w:r>
      <w:r w:rsidR="005C1A98">
        <w:t>DG</w:t>
      </w:r>
      <w:r w:rsidR="00546466">
        <w:t>’</w:t>
      </w:r>
      <w:r w:rsidR="005C1A98">
        <w:t>s</w:t>
      </w:r>
      <w:proofErr w:type="spellEnd"/>
      <w:r w:rsidR="006157BA">
        <w:t>)</w:t>
      </w:r>
      <w:r w:rsidR="00795F34">
        <w:rPr>
          <w:rStyle w:val="FootnoteReference"/>
        </w:rPr>
        <w:footnoteReference w:id="3"/>
      </w:r>
      <w:r w:rsidR="002B431F">
        <w:t xml:space="preserve"> in nationale plannen, het versnellen van de implementatie daarvan en het geven van ondersteuning bij het maken van beleid hierop indien daarom wordt gevraagd door de landen. </w:t>
      </w:r>
      <w:r w:rsidR="0005233C">
        <w:t xml:space="preserve">De WHO is nauw betrokken bij de </w:t>
      </w:r>
      <w:r w:rsidR="00546466">
        <w:t>uitvoering van de SDG-</w:t>
      </w:r>
      <w:r w:rsidR="0005233C">
        <w:t>agenda (doel 3 van Agenda 2030 betreft Gezondheid en Welzijn)</w:t>
      </w:r>
      <w:r w:rsidR="00315F83">
        <w:t xml:space="preserve"> en is samen met UNFPA trekker voor de </w:t>
      </w:r>
      <w:r w:rsidR="00315F83" w:rsidRPr="00546466">
        <w:rPr>
          <w:i/>
        </w:rPr>
        <w:t xml:space="preserve">High Level </w:t>
      </w:r>
      <w:proofErr w:type="spellStart"/>
      <w:r w:rsidR="00315F83" w:rsidRPr="00546466">
        <w:rPr>
          <w:i/>
        </w:rPr>
        <w:t>Political</w:t>
      </w:r>
      <w:proofErr w:type="spellEnd"/>
      <w:r w:rsidR="00315F83" w:rsidRPr="00546466">
        <w:rPr>
          <w:i/>
        </w:rPr>
        <w:t xml:space="preserve"> Forum</w:t>
      </w:r>
      <w:r w:rsidR="00315F83">
        <w:t xml:space="preserve"> input van het VN-systeem over SDG 3</w:t>
      </w:r>
      <w:r w:rsidR="0005233C">
        <w:t xml:space="preserve">. </w:t>
      </w:r>
    </w:p>
    <w:p w14:paraId="55A9163B" w14:textId="77777777" w:rsidR="00546466" w:rsidRDefault="00546466" w:rsidP="00992969"/>
    <w:p w14:paraId="4A85101D" w14:textId="489DB124" w:rsidR="00D745A7" w:rsidRDefault="00AE6CA2" w:rsidP="009C4AAC">
      <w:pPr>
        <w:pStyle w:val="Heading2"/>
        <w:numPr>
          <w:ilvl w:val="1"/>
          <w:numId w:val="21"/>
        </w:numPr>
        <w:tabs>
          <w:tab w:val="left" w:pos="-1162"/>
          <w:tab w:val="left" w:pos="0"/>
        </w:tabs>
        <w:spacing w:line="240" w:lineRule="auto"/>
      </w:pPr>
      <w:r>
        <w:t xml:space="preserve"> </w:t>
      </w:r>
      <w:r w:rsidR="00546466">
        <w:tab/>
      </w:r>
      <w:bookmarkStart w:id="30" w:name="_Toc491421098"/>
      <w:r w:rsidR="00D745A7">
        <w:t>Organisatie, werkwijze en activiteiten</w:t>
      </w:r>
      <w:bookmarkEnd w:id="30"/>
    </w:p>
    <w:p w14:paraId="2ECD7A81" w14:textId="397AD4A6" w:rsidR="00266529" w:rsidRDefault="00266529" w:rsidP="00266529">
      <w:r>
        <w:t xml:space="preserve">De WHO is </w:t>
      </w:r>
      <w:r w:rsidR="008D47B9">
        <w:t>coördinerend en normatief. De</w:t>
      </w:r>
      <w:r w:rsidR="00E83485">
        <w:t xml:space="preserve"> </w:t>
      </w:r>
      <w:r w:rsidR="00003B6C">
        <w:t>VN-</w:t>
      </w:r>
      <w:r>
        <w:t>organisatie</w:t>
      </w:r>
      <w:r w:rsidR="008D47B9">
        <w:t xml:space="preserve"> heeft</w:t>
      </w:r>
      <w:r>
        <w:t xml:space="preserve"> 194 lidstaten en twee geassocieerde leden (</w:t>
      </w:r>
      <w:r w:rsidRPr="003453D3">
        <w:t xml:space="preserve">Puerto Rico </w:t>
      </w:r>
      <w:r>
        <w:t xml:space="preserve">en </w:t>
      </w:r>
      <w:r w:rsidRPr="003453D3">
        <w:t>Tokelau</w:t>
      </w:r>
      <w:r>
        <w:t xml:space="preserve">). De lidstaten vormen gezamenlijk het hoogste </w:t>
      </w:r>
      <w:r w:rsidR="00D04E1A">
        <w:t xml:space="preserve">besluitvormende </w:t>
      </w:r>
      <w:r>
        <w:t xml:space="preserve">orgaan van de organisatie, de </w:t>
      </w:r>
      <w:r w:rsidRPr="00EB6285">
        <w:rPr>
          <w:i/>
        </w:rPr>
        <w:t>World Health Assembly</w:t>
      </w:r>
      <w:r>
        <w:t xml:space="preserve"> (WHA). De WHA komt eenmaal per jaar bijeen. </w:t>
      </w:r>
      <w:r w:rsidRPr="00B05DE6">
        <w:t>Naast de lidstaten zijn er zeven observatoren</w:t>
      </w:r>
      <w:r>
        <w:t>,</w:t>
      </w:r>
      <w:r w:rsidRPr="00B05DE6">
        <w:t xml:space="preserve"> waaronder het Vaticaan</w:t>
      </w:r>
      <w:r>
        <w:t xml:space="preserve">, </w:t>
      </w:r>
      <w:r w:rsidRPr="00B05DE6">
        <w:t xml:space="preserve">de </w:t>
      </w:r>
      <w:r>
        <w:t>Palest</w:t>
      </w:r>
      <w:r w:rsidRPr="00B05DE6">
        <w:t>ijnse Autoriteit</w:t>
      </w:r>
      <w:r>
        <w:t xml:space="preserve"> en Taiwan</w:t>
      </w:r>
      <w:r w:rsidRPr="00B05DE6">
        <w:t xml:space="preserve">. </w:t>
      </w:r>
      <w:r>
        <w:t xml:space="preserve">Daarnaast is er tweemaal per jaar een Uitvoerende Raad </w:t>
      </w:r>
      <w:r w:rsidR="00D04E1A">
        <w:t>(</w:t>
      </w:r>
      <w:r w:rsidR="00D04E1A" w:rsidRPr="00EB6285">
        <w:rPr>
          <w:i/>
        </w:rPr>
        <w:t>Executive Board</w:t>
      </w:r>
      <w:r w:rsidR="00D04E1A">
        <w:t xml:space="preserve"> / EB) </w:t>
      </w:r>
      <w:r>
        <w:t xml:space="preserve">bestaande uit 34 leden. Deze leden worden regionaal gekozen voor een periode van drie jaar. </w:t>
      </w:r>
      <w:r w:rsidR="00D04E1A" w:rsidRPr="008C50CE">
        <w:t xml:space="preserve">Elk jaar wordt een derde van </w:t>
      </w:r>
      <w:r w:rsidR="00D04E1A">
        <w:t xml:space="preserve">de leden van de Raad vervangen. </w:t>
      </w:r>
      <w:r w:rsidR="00D04E1A" w:rsidRPr="008C50CE">
        <w:t>De WHA kiest de leden op basis van een voorselectie door de zes regio’s van de WHO.</w:t>
      </w:r>
      <w:r w:rsidR="00D04E1A">
        <w:t xml:space="preserve"> </w:t>
      </w:r>
      <w:r>
        <w:t xml:space="preserve">Uit de </w:t>
      </w:r>
      <w:r w:rsidR="00E83485">
        <w:t xml:space="preserve">EB </w:t>
      </w:r>
      <w:r>
        <w:t xml:space="preserve">worden 14 leden (met regionale spreiding) gekozen voor het </w:t>
      </w:r>
      <w:proofErr w:type="spellStart"/>
      <w:r w:rsidRPr="00EB6285">
        <w:rPr>
          <w:i/>
        </w:rPr>
        <w:t>Programme</w:t>
      </w:r>
      <w:proofErr w:type="spellEnd"/>
      <w:r w:rsidRPr="00EB6285">
        <w:rPr>
          <w:i/>
        </w:rPr>
        <w:t xml:space="preserve">, Budget </w:t>
      </w:r>
      <w:proofErr w:type="spellStart"/>
      <w:r w:rsidRPr="00EB6285">
        <w:rPr>
          <w:i/>
        </w:rPr>
        <w:t>and</w:t>
      </w:r>
      <w:proofErr w:type="spellEnd"/>
      <w:r w:rsidRPr="00EB6285">
        <w:rPr>
          <w:i/>
        </w:rPr>
        <w:t xml:space="preserve"> Administration </w:t>
      </w:r>
      <w:proofErr w:type="spellStart"/>
      <w:r w:rsidRPr="00EB6285">
        <w:rPr>
          <w:i/>
        </w:rPr>
        <w:t>Committee</w:t>
      </w:r>
      <w:proofErr w:type="spellEnd"/>
      <w:r>
        <w:t xml:space="preserve"> (PBAC). De PBAC functioneert als </w:t>
      </w:r>
      <w:r w:rsidRPr="002D7675">
        <w:t xml:space="preserve">belangrijkste </w:t>
      </w:r>
      <w:r w:rsidR="00EB6285" w:rsidRPr="002D7675">
        <w:t>adviescomm</w:t>
      </w:r>
      <w:r w:rsidR="00EB6285">
        <w:t>issie</w:t>
      </w:r>
      <w:r w:rsidRPr="002D7675">
        <w:t xml:space="preserve"> </w:t>
      </w:r>
      <w:r w:rsidR="00116475">
        <w:t xml:space="preserve">op </w:t>
      </w:r>
      <w:r w:rsidR="00003B6C">
        <w:t xml:space="preserve">het </w:t>
      </w:r>
      <w:r w:rsidR="00116475">
        <w:t xml:space="preserve">gebied van financiële en organisatorische zaken </w:t>
      </w:r>
      <w:r w:rsidR="00E83485">
        <w:t>van de EB</w:t>
      </w:r>
      <w:r>
        <w:t>.</w:t>
      </w:r>
    </w:p>
    <w:p w14:paraId="4E63D34A" w14:textId="77777777" w:rsidR="00A33725" w:rsidRDefault="00A33725" w:rsidP="00266529"/>
    <w:p w14:paraId="1BE16761" w14:textId="29236844" w:rsidR="008D47B9" w:rsidRDefault="005029CC" w:rsidP="00266529">
      <w:r>
        <w:t>Vanaf ju</w:t>
      </w:r>
      <w:r w:rsidR="0061298B">
        <w:t>l</w:t>
      </w:r>
      <w:r>
        <w:t>i 2017 wordt de WHO geleid door Dr</w:t>
      </w:r>
      <w:r w:rsidR="00546466">
        <w:t>.</w:t>
      </w:r>
      <w:r>
        <w:t xml:space="preserve"> </w:t>
      </w:r>
      <w:proofErr w:type="spellStart"/>
      <w:r>
        <w:t>Tedros</w:t>
      </w:r>
      <w:proofErr w:type="spellEnd"/>
      <w:r>
        <w:t xml:space="preserve"> </w:t>
      </w:r>
      <w:proofErr w:type="spellStart"/>
      <w:r>
        <w:t>Adhanom</w:t>
      </w:r>
      <w:proofErr w:type="spellEnd"/>
      <w:r>
        <w:t xml:space="preserve"> </w:t>
      </w:r>
      <w:proofErr w:type="spellStart"/>
      <w:r>
        <w:t>Ghebreyesus</w:t>
      </w:r>
      <w:proofErr w:type="spellEnd"/>
      <w:r>
        <w:t xml:space="preserve">. Hij is recent door de World Health Assembly gekozen en </w:t>
      </w:r>
      <w:r w:rsidR="00131DF6">
        <w:t xml:space="preserve">volgt </w:t>
      </w:r>
      <w:r w:rsidR="00266529">
        <w:t xml:space="preserve">Dr. Margaret </w:t>
      </w:r>
      <w:proofErr w:type="spellStart"/>
      <w:r w:rsidR="00266529">
        <w:t>Chan</w:t>
      </w:r>
      <w:proofErr w:type="spellEnd"/>
      <w:r w:rsidR="00266529">
        <w:t xml:space="preserve"> </w:t>
      </w:r>
      <w:r w:rsidR="00003B6C">
        <w:t>uit China</w:t>
      </w:r>
      <w:r w:rsidR="00131DF6">
        <w:t xml:space="preserve"> op</w:t>
      </w:r>
      <w:r>
        <w:t xml:space="preserve"> die 10 jaar Directeur Generaal (DG) van de organisatie is geweest.</w:t>
      </w:r>
      <w:r w:rsidR="00AE6CA2">
        <w:t xml:space="preserve"> </w:t>
      </w:r>
      <w:r>
        <w:t xml:space="preserve">Naast de DG bestaat het </w:t>
      </w:r>
      <w:r w:rsidR="00F93B94">
        <w:t xml:space="preserve">senior </w:t>
      </w:r>
      <w:r>
        <w:t>man</w:t>
      </w:r>
      <w:r w:rsidR="00131DF6">
        <w:t>a</w:t>
      </w:r>
      <w:r>
        <w:t xml:space="preserve">gement uit </w:t>
      </w:r>
      <w:r w:rsidR="009B2203">
        <w:t xml:space="preserve">een </w:t>
      </w:r>
      <w:proofErr w:type="spellStart"/>
      <w:r w:rsidR="00546466" w:rsidRPr="00546466">
        <w:rPr>
          <w:i/>
        </w:rPr>
        <w:t>Deputy</w:t>
      </w:r>
      <w:proofErr w:type="spellEnd"/>
      <w:r w:rsidR="00546466">
        <w:t xml:space="preserve"> </w:t>
      </w:r>
      <w:r w:rsidR="009B2203" w:rsidRPr="00546466">
        <w:rPr>
          <w:i/>
        </w:rPr>
        <w:t>DG</w:t>
      </w:r>
      <w:r w:rsidR="009B2203">
        <w:t xml:space="preserve"> en</w:t>
      </w:r>
      <w:r w:rsidR="00266529">
        <w:t xml:space="preserve"> zeven assistent-</w:t>
      </w:r>
      <w:proofErr w:type="spellStart"/>
      <w:r w:rsidR="00266529">
        <w:t>DG’s</w:t>
      </w:r>
      <w:proofErr w:type="spellEnd"/>
      <w:r w:rsidR="00266529">
        <w:t>.</w:t>
      </w:r>
      <w:r w:rsidR="000E5238">
        <w:t xml:space="preserve"> Daarnaast is er</w:t>
      </w:r>
      <w:r w:rsidR="009B2203">
        <w:t xml:space="preserve"> in 2016</w:t>
      </w:r>
      <w:r w:rsidR="000E5238">
        <w:t xml:space="preserve"> een Uitvoerend Directeur </w:t>
      </w:r>
      <w:r w:rsidR="00574444">
        <w:t xml:space="preserve">aangesteld </w:t>
      </w:r>
      <w:r w:rsidR="000E5238">
        <w:t xml:space="preserve">voor het </w:t>
      </w:r>
      <w:r w:rsidR="00A30423">
        <w:t xml:space="preserve">nieuwe </w:t>
      </w:r>
      <w:r w:rsidR="000E5238" w:rsidRPr="00EB6285">
        <w:rPr>
          <w:i/>
        </w:rPr>
        <w:t xml:space="preserve">Health </w:t>
      </w:r>
      <w:proofErr w:type="spellStart"/>
      <w:r w:rsidR="000E5238" w:rsidRPr="00EB6285">
        <w:rPr>
          <w:i/>
        </w:rPr>
        <w:t>E</w:t>
      </w:r>
      <w:r w:rsidR="00265466" w:rsidRPr="00EB6285">
        <w:rPr>
          <w:i/>
        </w:rPr>
        <w:t>mergencies</w:t>
      </w:r>
      <w:proofErr w:type="spellEnd"/>
      <w:r w:rsidR="00265466" w:rsidRPr="00EB6285">
        <w:rPr>
          <w:i/>
        </w:rPr>
        <w:t xml:space="preserve"> </w:t>
      </w:r>
      <w:proofErr w:type="spellStart"/>
      <w:r w:rsidR="00265466" w:rsidRPr="00EB6285">
        <w:rPr>
          <w:i/>
        </w:rPr>
        <w:t>Programme</w:t>
      </w:r>
      <w:proofErr w:type="spellEnd"/>
      <w:r w:rsidR="00265466">
        <w:t xml:space="preserve"> </w:t>
      </w:r>
      <w:r w:rsidR="00266529">
        <w:t xml:space="preserve">De organisatie heeft </w:t>
      </w:r>
      <w:r w:rsidR="00266529" w:rsidRPr="00CE0EC1">
        <w:t>7</w:t>
      </w:r>
      <w:r w:rsidR="00266529">
        <w:t>.</w:t>
      </w:r>
      <w:r w:rsidR="006726E7">
        <w:t>632</w:t>
      </w:r>
      <w:r w:rsidR="00266529">
        <w:t xml:space="preserve"> medewerkers in dienst</w:t>
      </w:r>
      <w:r w:rsidR="00265466">
        <w:t>,</w:t>
      </w:r>
      <w:r w:rsidR="00266529">
        <w:t xml:space="preserve"> bestaande uit artsen, epidemiologen</w:t>
      </w:r>
      <w:r w:rsidR="00266529" w:rsidRPr="00BB6EE2">
        <w:t xml:space="preserve">, </w:t>
      </w:r>
      <w:r w:rsidR="00266529">
        <w:t xml:space="preserve">wetenschappers, managers, andere </w:t>
      </w:r>
      <w:r w:rsidR="0015051B" w:rsidRPr="00BB6EE2">
        <w:t>professionals</w:t>
      </w:r>
      <w:r w:rsidR="00266529" w:rsidRPr="00C80AA6">
        <w:t xml:space="preserve"> </w:t>
      </w:r>
      <w:r w:rsidR="00266529">
        <w:t>en administratieve medewerkers</w:t>
      </w:r>
      <w:r w:rsidR="00266529" w:rsidRPr="00BB6EE2">
        <w:t xml:space="preserve">. </w:t>
      </w:r>
      <w:r w:rsidR="00266529">
        <w:t>De WHO beschikt over een hoofdkantoor in Genève, zes regionale kantoren en 147 l</w:t>
      </w:r>
      <w:r w:rsidR="003D314C">
        <w:t>anden</w:t>
      </w:r>
      <w:r w:rsidR="00266529">
        <w:t>kantoren. Het hoofdkantoor v</w:t>
      </w:r>
      <w:r w:rsidR="00003B6C">
        <w:t xml:space="preserve">ervult </w:t>
      </w:r>
      <w:r w:rsidR="00266529">
        <w:t xml:space="preserve">de functie van een intergouvernementeel forum en monitort de wereldwijde gezondheidssituatie. De zes regionale kantoren, met ieder een eigen </w:t>
      </w:r>
      <w:r w:rsidR="00266529">
        <w:lastRenderedPageBreak/>
        <w:t>bestuursorgaan (Regionaal Comité) ondersteunen en monitoren de landenkantoren en voeren regionale programma’s uit. Het netwerk van landenkantoren bevindt zich vooral in lage- en middeninkomenslanden: zij assisteren nationale overheden bij de vertaling van mondiale normen en beleidsadviezen naar de specifieke omstandigheden in die landen. Het Europese regiokantoor is in Kopenhagen gevestigd.</w:t>
      </w:r>
    </w:p>
    <w:p w14:paraId="7B2BBBD4" w14:textId="77777777" w:rsidR="00A33725" w:rsidRDefault="00A33725" w:rsidP="007B5E54"/>
    <w:p w14:paraId="3147B6C7" w14:textId="1865243B" w:rsidR="007B16C0" w:rsidRDefault="007B16C0" w:rsidP="007B5E54">
      <w:r w:rsidRPr="00843AE1">
        <w:t xml:space="preserve">De WHO onderschrijft de VN-hervormingen zoals </w:t>
      </w:r>
      <w:proofErr w:type="spellStart"/>
      <w:r w:rsidRPr="00EB6285">
        <w:rPr>
          <w:i/>
        </w:rPr>
        <w:t>Quadrennial</w:t>
      </w:r>
      <w:proofErr w:type="spellEnd"/>
      <w:r w:rsidRPr="00EB6285">
        <w:rPr>
          <w:i/>
        </w:rPr>
        <w:t xml:space="preserve"> Comprehensive Policy Review</w:t>
      </w:r>
      <w:r w:rsidRPr="00843AE1">
        <w:t xml:space="preserve"> (QCPR) en heeft zich verbonden aan </w:t>
      </w:r>
      <w:r w:rsidRPr="00EB6285">
        <w:rPr>
          <w:i/>
        </w:rPr>
        <w:t xml:space="preserve">Delivering as </w:t>
      </w:r>
      <w:proofErr w:type="spellStart"/>
      <w:r w:rsidRPr="00EB6285">
        <w:rPr>
          <w:i/>
        </w:rPr>
        <w:t>One</w:t>
      </w:r>
      <w:proofErr w:type="spellEnd"/>
      <w:r w:rsidRPr="00843AE1">
        <w:t>.</w:t>
      </w:r>
      <w:r>
        <w:t xml:space="preserve"> </w:t>
      </w:r>
      <w:r w:rsidR="00266529">
        <w:t xml:space="preserve">In 2010 is onder DG </w:t>
      </w:r>
      <w:proofErr w:type="spellStart"/>
      <w:r w:rsidR="00266529">
        <w:t>Chan</w:t>
      </w:r>
      <w:proofErr w:type="spellEnd"/>
      <w:r w:rsidR="00266529">
        <w:t xml:space="preserve"> een grootschalig hervormingsproces ingezet. De hervorming</w:t>
      </w:r>
      <w:r>
        <w:t>en</w:t>
      </w:r>
      <w:r w:rsidR="00266529">
        <w:t xml:space="preserve"> richt</w:t>
      </w:r>
      <w:r>
        <w:t>en</w:t>
      </w:r>
      <w:r w:rsidR="00266529">
        <w:t xml:space="preserve"> zich op de bestuursstructuur, de programmatische prioriteitstelling en </w:t>
      </w:r>
      <w:r w:rsidR="00003B6C">
        <w:t xml:space="preserve">het </w:t>
      </w:r>
      <w:r w:rsidR="00266529">
        <w:t xml:space="preserve">management van de organisatie inclusief hervorming van de financieringsstructuur. </w:t>
      </w:r>
      <w:r w:rsidR="009B2203">
        <w:t>Veel</w:t>
      </w:r>
      <w:r w:rsidR="00266529">
        <w:t xml:space="preserve"> hervormingen </w:t>
      </w:r>
      <w:r w:rsidR="00E376C2">
        <w:t>zijn in</w:t>
      </w:r>
      <w:r w:rsidR="009B2203">
        <w:t xml:space="preserve"> de afgelopen jaren in gang gezet</w:t>
      </w:r>
      <w:r w:rsidR="00E376C2">
        <w:t>, maar</w:t>
      </w:r>
      <w:r w:rsidR="00341FD4">
        <w:t xml:space="preserve"> de</w:t>
      </w:r>
      <w:r w:rsidR="00E376C2">
        <w:t xml:space="preserve"> uitwerking</w:t>
      </w:r>
      <w:r w:rsidR="009B2203">
        <w:t xml:space="preserve"> en vo</w:t>
      </w:r>
      <w:r w:rsidR="000712D0">
        <w:t>ortgang</w:t>
      </w:r>
      <w:r w:rsidR="00AE6CA2">
        <w:t xml:space="preserve"> </w:t>
      </w:r>
      <w:r w:rsidR="009B2203">
        <w:t>be</w:t>
      </w:r>
      <w:r w:rsidR="000712D0">
        <w:t>vinden</w:t>
      </w:r>
      <w:r w:rsidR="00AE6CA2">
        <w:t xml:space="preserve"> </w:t>
      </w:r>
      <w:r w:rsidR="009B2203">
        <w:t>zich in verschillende fases.</w:t>
      </w:r>
      <w:r w:rsidR="00266529">
        <w:t xml:space="preserve"> </w:t>
      </w:r>
      <w:r w:rsidR="005029CC">
        <w:t xml:space="preserve">Het blijkt in de praktijk moeilijk om de </w:t>
      </w:r>
      <w:r>
        <w:t>h</w:t>
      </w:r>
      <w:r w:rsidR="00266529" w:rsidRPr="00843AE1">
        <w:t xml:space="preserve">orizontale VN-hervormingen op landenniveau en de interne verticale reorganisatie van WHO parallel </w:t>
      </w:r>
      <w:r w:rsidR="005029CC">
        <w:t xml:space="preserve">te laten </w:t>
      </w:r>
      <w:r w:rsidR="00266529" w:rsidRPr="00843AE1">
        <w:t xml:space="preserve">lopen. </w:t>
      </w:r>
    </w:p>
    <w:p w14:paraId="0C5B5A08" w14:textId="77777777" w:rsidR="00A33725" w:rsidRDefault="00A33725" w:rsidP="007B5E54"/>
    <w:p w14:paraId="273BAF29" w14:textId="1D2AC1D9" w:rsidR="00FC24FF" w:rsidRDefault="00E376C2" w:rsidP="007B5E54">
      <w:r>
        <w:t>Tijdens de uitbraak van Ebola in West</w:t>
      </w:r>
      <w:r w:rsidR="000712D0">
        <w:t>-</w:t>
      </w:r>
      <w:r>
        <w:t xml:space="preserve">Afrika </w:t>
      </w:r>
      <w:r w:rsidR="005029CC">
        <w:t xml:space="preserve">heeft de </w:t>
      </w:r>
      <w:r w:rsidR="009719D5">
        <w:t xml:space="preserve">organisatie </w:t>
      </w:r>
      <w:r w:rsidR="005029CC">
        <w:t>niet voldoende adequaat en gecoördineerd gereageerd</w:t>
      </w:r>
      <w:r w:rsidR="00EC6C1A">
        <w:t xml:space="preserve">. </w:t>
      </w:r>
      <w:r w:rsidR="009719D5">
        <w:t>Dit</w:t>
      </w:r>
      <w:r w:rsidR="00F5620F">
        <w:t xml:space="preserve"> bevestigde de noodzaak tot hervorming</w:t>
      </w:r>
      <w:r w:rsidR="000712D0">
        <w:t>,</w:t>
      </w:r>
      <w:r w:rsidR="00F5620F">
        <w:t xml:space="preserve"> </w:t>
      </w:r>
      <w:r w:rsidR="00E737FF">
        <w:t xml:space="preserve">zodat de WHO in het vervolg </w:t>
      </w:r>
      <w:r w:rsidR="005029CC">
        <w:t xml:space="preserve">effectiever </w:t>
      </w:r>
      <w:r w:rsidR="00E737FF">
        <w:t xml:space="preserve">kan reageren op complexe noodsituaties. </w:t>
      </w:r>
      <w:r w:rsidR="009B2203">
        <w:t xml:space="preserve">Belangrijkste wapenfeit op dit moment is het nieuwe </w:t>
      </w:r>
      <w:r w:rsidR="0015051B">
        <w:t>Noodhulpprogramma</w:t>
      </w:r>
      <w:r w:rsidR="007B5E54">
        <w:rPr>
          <w:i/>
        </w:rPr>
        <w:t xml:space="preserve"> </w:t>
      </w:r>
      <w:r w:rsidR="007B5E54">
        <w:t>(</w:t>
      </w:r>
      <w:r w:rsidR="0054360E" w:rsidRPr="0015051B">
        <w:rPr>
          <w:i/>
        </w:rPr>
        <w:t xml:space="preserve">WHO </w:t>
      </w:r>
      <w:r w:rsidR="000712D0" w:rsidRPr="0015051B">
        <w:rPr>
          <w:i/>
        </w:rPr>
        <w:t>Health</w:t>
      </w:r>
      <w:r w:rsidR="000712D0">
        <w:t xml:space="preserve"> </w:t>
      </w:r>
      <w:proofErr w:type="spellStart"/>
      <w:r w:rsidR="007B5E54">
        <w:rPr>
          <w:i/>
        </w:rPr>
        <w:t>Emergenc</w:t>
      </w:r>
      <w:r w:rsidR="000712D0">
        <w:rPr>
          <w:i/>
        </w:rPr>
        <w:t>ies</w:t>
      </w:r>
      <w:proofErr w:type="spellEnd"/>
      <w:r w:rsidR="007B5E54">
        <w:rPr>
          <w:i/>
        </w:rPr>
        <w:t xml:space="preserve"> </w:t>
      </w:r>
      <w:proofErr w:type="spellStart"/>
      <w:r w:rsidR="007B5E54">
        <w:rPr>
          <w:i/>
        </w:rPr>
        <w:t>Programme</w:t>
      </w:r>
      <w:proofErr w:type="spellEnd"/>
      <w:r w:rsidR="007B5E54">
        <w:t>)</w:t>
      </w:r>
      <w:r w:rsidR="009B2203">
        <w:t xml:space="preserve">. Daarnaast zijn er goede vorderingen gemaakt bij de programmatische </w:t>
      </w:r>
      <w:r w:rsidR="00EC6C1A">
        <w:t xml:space="preserve">en bestuurlijke </w:t>
      </w:r>
      <w:r w:rsidR="009B2203">
        <w:t>hervormingen</w:t>
      </w:r>
      <w:r w:rsidR="00341FD4">
        <w:t>.</w:t>
      </w:r>
      <w:r w:rsidR="00EC6C1A">
        <w:t xml:space="preserve"> </w:t>
      </w:r>
      <w:r w:rsidR="00131DF6">
        <w:t xml:space="preserve">Het zal belangrijk zijn </w:t>
      </w:r>
      <w:r w:rsidR="00EC6C1A">
        <w:t xml:space="preserve">voor de nieuwe DG </w:t>
      </w:r>
      <w:proofErr w:type="spellStart"/>
      <w:r w:rsidR="00131DF6">
        <w:t>Tedros</w:t>
      </w:r>
      <w:proofErr w:type="spellEnd"/>
      <w:r w:rsidR="00EC6C1A">
        <w:t xml:space="preserve"> om hiermee door te gaan.</w:t>
      </w:r>
      <w:r w:rsidR="00AE6CA2">
        <w:t xml:space="preserve"> </w:t>
      </w:r>
    </w:p>
    <w:p w14:paraId="3E2DBE51" w14:textId="77777777" w:rsidR="00546466" w:rsidRPr="009719D5" w:rsidRDefault="00546466" w:rsidP="007B5E54"/>
    <w:p w14:paraId="37BB7A95" w14:textId="73DAA736" w:rsidR="00D745A7" w:rsidRDefault="00784329" w:rsidP="00F24A31">
      <w:pPr>
        <w:pStyle w:val="Heading2"/>
        <w:tabs>
          <w:tab w:val="left" w:pos="-1162"/>
          <w:tab w:val="left" w:pos="0"/>
          <w:tab w:val="num" w:pos="1160"/>
        </w:tabs>
        <w:spacing w:line="240" w:lineRule="auto"/>
        <w:ind w:hanging="1162"/>
      </w:pPr>
      <w:bookmarkStart w:id="31" w:name="_Toc491421099"/>
      <w:r>
        <w:t>3</w:t>
      </w:r>
      <w:r w:rsidR="00F24A31">
        <w:t xml:space="preserve">.3 </w:t>
      </w:r>
      <w:r w:rsidR="00F24A31">
        <w:tab/>
      </w:r>
      <w:r w:rsidR="00D745A7">
        <w:t xml:space="preserve">Nederlandse </w:t>
      </w:r>
      <w:r w:rsidR="000304C1">
        <w:t>rol en invloed</w:t>
      </w:r>
      <w:bookmarkEnd w:id="31"/>
    </w:p>
    <w:p w14:paraId="5EF7F544" w14:textId="525A0CCA" w:rsidR="00574444" w:rsidRDefault="00574444" w:rsidP="00574444">
      <w:r w:rsidRPr="008C50CE">
        <w:t>Nederland is</w:t>
      </w:r>
      <w:r>
        <w:t>, zoals</w:t>
      </w:r>
      <w:r w:rsidRPr="008C50CE">
        <w:t xml:space="preserve"> </w:t>
      </w:r>
      <w:r>
        <w:t xml:space="preserve">alle </w:t>
      </w:r>
      <w:r w:rsidRPr="008C50CE">
        <w:t>lidstat</w:t>
      </w:r>
      <w:r>
        <w:t>en</w:t>
      </w:r>
      <w:r w:rsidRPr="008C50CE">
        <w:t xml:space="preserve"> van de WHO</w:t>
      </w:r>
      <w:r>
        <w:t>,</w:t>
      </w:r>
      <w:r w:rsidRPr="008C50CE">
        <w:t xml:space="preserve"> vertegenwoordi</w:t>
      </w:r>
      <w:r w:rsidR="00341FD4">
        <w:t xml:space="preserve">gd in de </w:t>
      </w:r>
      <w:r>
        <w:t>WHA</w:t>
      </w:r>
      <w:r w:rsidRPr="008C50CE">
        <w:t xml:space="preserve">. </w:t>
      </w:r>
      <w:r w:rsidRPr="0005652B">
        <w:t xml:space="preserve">Bij het deelnemen aan de WHA en aan de </w:t>
      </w:r>
      <w:r>
        <w:t>Uitvoerende Raad</w:t>
      </w:r>
      <w:r w:rsidRPr="0005652B">
        <w:t xml:space="preserve"> wordt </w:t>
      </w:r>
      <w:r w:rsidR="00003B6C">
        <w:t>samengewerkt met</w:t>
      </w:r>
      <w:r>
        <w:t xml:space="preserve"> d</w:t>
      </w:r>
      <w:r w:rsidRPr="008C50CE">
        <w:t xml:space="preserve">e Nederlandse Permanente Vertegenwoordiging in Genève. </w:t>
      </w:r>
      <w:r w:rsidR="00795F34">
        <w:t>Momenteel is Nederland</w:t>
      </w:r>
      <w:r>
        <w:t xml:space="preserve"> </w:t>
      </w:r>
      <w:r w:rsidRPr="008C50CE">
        <w:t>lid van de Uitvoerende Raad</w:t>
      </w:r>
      <w:r>
        <w:t xml:space="preserve"> van de WHO</w:t>
      </w:r>
      <w:r w:rsidR="006913CE">
        <w:t xml:space="preserve"> (2016 tot 2019).</w:t>
      </w:r>
      <w:r w:rsidRPr="008C50CE">
        <w:t xml:space="preserve"> </w:t>
      </w:r>
      <w:r w:rsidR="00A245E4">
        <w:t xml:space="preserve">Nederland streeft ernaar om zoveel als mogelijk gezamenlijk op te trekken met andere landen. Dit gebeurt vooral binnen het kader van de Europese Unie. Onder leiding van de </w:t>
      </w:r>
      <w:r w:rsidR="00795F34">
        <w:t>EU-delegatie</w:t>
      </w:r>
      <w:r w:rsidR="00341FD4">
        <w:t xml:space="preserve"> in Genève slagen de </w:t>
      </w:r>
      <w:r w:rsidR="00A245E4">
        <w:t>lidstaten van de EU er vaak in om op een aantal agendapunten tot gezame</w:t>
      </w:r>
      <w:r w:rsidR="00341FD4">
        <w:t>nlijke standpunten</w:t>
      </w:r>
      <w:r w:rsidR="00A245E4">
        <w:t xml:space="preserve"> te komen. </w:t>
      </w:r>
      <w:r>
        <w:t xml:space="preserve">Op sommige specifieke gezondheidsthema’s speelt Nederland een belangrijke </w:t>
      </w:r>
      <w:r w:rsidR="0015051B">
        <w:t>rol: vrouwen</w:t>
      </w:r>
      <w:r>
        <w:t xml:space="preserve"> en gezondheid, S</w:t>
      </w:r>
      <w:r w:rsidR="00116475">
        <w:t xml:space="preserve">eksueel en </w:t>
      </w:r>
      <w:r>
        <w:t>R</w:t>
      </w:r>
      <w:r w:rsidR="00116475">
        <w:t xml:space="preserve">eproductieve </w:t>
      </w:r>
      <w:r>
        <w:t>G</w:t>
      </w:r>
      <w:r w:rsidR="00116475">
        <w:t xml:space="preserve">ezondheid en </w:t>
      </w:r>
      <w:r>
        <w:t>R</w:t>
      </w:r>
      <w:r w:rsidR="00116475">
        <w:t>echten (SRGR)</w:t>
      </w:r>
      <w:r>
        <w:t xml:space="preserve">, </w:t>
      </w:r>
      <w:r w:rsidR="00C76A7C">
        <w:t xml:space="preserve">preventie van </w:t>
      </w:r>
      <w:r w:rsidR="00341FD4">
        <w:t>ziekte uitbraken</w:t>
      </w:r>
      <w:r w:rsidR="00116475">
        <w:t>, dementie,</w:t>
      </w:r>
      <w:r w:rsidR="00097FC7">
        <w:t xml:space="preserve"> </w:t>
      </w:r>
      <w:r w:rsidR="003E4894">
        <w:t xml:space="preserve">toegang tot geneesmiddelen en tegengaan van </w:t>
      </w:r>
      <w:r>
        <w:t>antimicrobiële resistenti</w:t>
      </w:r>
      <w:r w:rsidR="00097FC7">
        <w:t>e.</w:t>
      </w:r>
    </w:p>
    <w:p w14:paraId="6989259D" w14:textId="48142109" w:rsidR="00574444" w:rsidRDefault="00574444" w:rsidP="00574444">
      <w:r>
        <w:t xml:space="preserve">Nederland heeft </w:t>
      </w:r>
      <w:r w:rsidR="000712D0">
        <w:t xml:space="preserve">sinds een aantal jaren </w:t>
      </w:r>
      <w:r w:rsidR="00920BA6">
        <w:t>partnerschap</w:t>
      </w:r>
      <w:r w:rsidRPr="00CB05AD">
        <w:t>sprogramma</w:t>
      </w:r>
      <w:r w:rsidR="000712D0">
        <w:t>’s</w:t>
      </w:r>
      <w:r w:rsidRPr="00CB05AD">
        <w:t xml:space="preserve"> </w:t>
      </w:r>
      <w:r>
        <w:t xml:space="preserve">met de WHO. </w:t>
      </w:r>
      <w:r w:rsidRPr="009D2597">
        <w:t xml:space="preserve">Het huidige programma loopt van 2014 tot en met 2017. </w:t>
      </w:r>
      <w:r w:rsidRPr="002D7675">
        <w:t xml:space="preserve">De WHO </w:t>
      </w:r>
      <w:r w:rsidR="00116475">
        <w:t>werkt nauw samen met</w:t>
      </w:r>
      <w:r w:rsidRPr="002D7675">
        <w:t xml:space="preserve"> zogenaamde </w:t>
      </w:r>
      <w:r w:rsidR="006F712A" w:rsidRPr="0015051B">
        <w:rPr>
          <w:i/>
        </w:rPr>
        <w:t>WHO</w:t>
      </w:r>
      <w:r w:rsidR="000712D0">
        <w:t xml:space="preserve"> </w:t>
      </w:r>
      <w:r w:rsidRPr="009F4AEF">
        <w:rPr>
          <w:i/>
        </w:rPr>
        <w:t xml:space="preserve">Collaborating </w:t>
      </w:r>
      <w:proofErr w:type="spellStart"/>
      <w:r w:rsidRPr="009F4AEF">
        <w:rPr>
          <w:i/>
        </w:rPr>
        <w:t>Centres</w:t>
      </w:r>
      <w:proofErr w:type="spellEnd"/>
      <w:r w:rsidRPr="002D7675">
        <w:t>, waarvan er 1</w:t>
      </w:r>
      <w:r w:rsidR="00EF09AE">
        <w:t>7</w:t>
      </w:r>
      <w:r w:rsidRPr="002D7675">
        <w:t xml:space="preserve"> in Nederland zitten (</w:t>
      </w:r>
      <w:r w:rsidR="00512D4D">
        <w:t xml:space="preserve">8 hiervan </w:t>
      </w:r>
      <w:r w:rsidRPr="002D7675">
        <w:t>bij het</w:t>
      </w:r>
      <w:r w:rsidR="009F4AEF">
        <w:t xml:space="preserve"> Rijksinstituut voor Volksgezondheid en Milieu /</w:t>
      </w:r>
      <w:r w:rsidRPr="002D7675">
        <w:t xml:space="preserve"> RIVM).</w:t>
      </w:r>
      <w:r w:rsidR="00341FD4">
        <w:t xml:space="preserve"> </w:t>
      </w:r>
      <w:r w:rsidR="00365C92">
        <w:t>Met 42</w:t>
      </w:r>
      <w:r w:rsidRPr="00ED2D96">
        <w:t xml:space="preserve"> Nederlanders werkzaam bij de WHO </w:t>
      </w:r>
      <w:r>
        <w:t>o</w:t>
      </w:r>
      <w:r w:rsidR="00365C92">
        <w:t>p het niveau van professional (31) en senior management</w:t>
      </w:r>
      <w:r>
        <w:t xml:space="preserve"> (</w:t>
      </w:r>
      <w:r w:rsidR="00365C92">
        <w:t>11</w:t>
      </w:r>
      <w:r w:rsidR="00E83485">
        <w:t xml:space="preserve">) is Nederland </w:t>
      </w:r>
      <w:r w:rsidR="00447773">
        <w:t xml:space="preserve">goed vertegenwoordigd </w:t>
      </w:r>
      <w:r>
        <w:t>bij de WHO</w:t>
      </w:r>
      <w:r w:rsidRPr="00ED2D96">
        <w:t>.</w:t>
      </w:r>
    </w:p>
    <w:p w14:paraId="474433B4" w14:textId="77777777" w:rsidR="00546466" w:rsidRDefault="00546466" w:rsidP="00574444"/>
    <w:p w14:paraId="4D74F829" w14:textId="5DA476A6" w:rsidR="00D745A7" w:rsidRDefault="00784329" w:rsidP="00F24A31">
      <w:pPr>
        <w:pStyle w:val="Heading2"/>
        <w:tabs>
          <w:tab w:val="left" w:pos="-1162"/>
          <w:tab w:val="left" w:pos="0"/>
          <w:tab w:val="num" w:pos="1160"/>
        </w:tabs>
        <w:spacing w:line="240" w:lineRule="auto"/>
        <w:ind w:hanging="1162"/>
      </w:pPr>
      <w:bookmarkStart w:id="32" w:name="_Toc491421100"/>
      <w:r>
        <w:t>3</w:t>
      </w:r>
      <w:r w:rsidR="00F24A31">
        <w:t>.4</w:t>
      </w:r>
      <w:r w:rsidR="00F24A31">
        <w:tab/>
      </w:r>
      <w:r w:rsidR="00D745A7">
        <w:t>Financiële omvang en bijdragen</w:t>
      </w:r>
      <w:bookmarkEnd w:id="32"/>
    </w:p>
    <w:p w14:paraId="7A2D13E0" w14:textId="13DB730E" w:rsidR="000574EE" w:rsidRDefault="00B95ABB" w:rsidP="000574EE">
      <w:r w:rsidRPr="00EA3D94">
        <w:t xml:space="preserve">Op basis van het algemene werkplan </w:t>
      </w:r>
      <w:r>
        <w:t xml:space="preserve">stelt </w:t>
      </w:r>
      <w:r w:rsidRPr="00EA3D94">
        <w:t>de WHO eens per twee jaar</w:t>
      </w:r>
      <w:r>
        <w:t xml:space="preserve"> een programmabudget op.</w:t>
      </w:r>
      <w:r w:rsidR="000574EE">
        <w:t xml:space="preserve"> Het totale budget bedraagt </w:t>
      </w:r>
      <w:r w:rsidR="00091A58">
        <w:t>4</w:t>
      </w:r>
      <w:r w:rsidR="000574EE">
        <w:t>,</w:t>
      </w:r>
      <w:r w:rsidR="00091A58">
        <w:t>385</w:t>
      </w:r>
      <w:r w:rsidR="000574EE">
        <w:t xml:space="preserve"> miljard US dollar. </w:t>
      </w:r>
      <w:proofErr w:type="spellStart"/>
      <w:r w:rsidR="000574EE">
        <w:t>WHO’s</w:t>
      </w:r>
      <w:proofErr w:type="spellEnd"/>
      <w:r w:rsidR="000574EE">
        <w:t xml:space="preserve"> inkomsten komen</w:t>
      </w:r>
      <w:r w:rsidR="00091A58">
        <w:t xml:space="preserve"> uit verplichte </w:t>
      </w:r>
      <w:r w:rsidR="00447773">
        <w:t xml:space="preserve">bijdragen </w:t>
      </w:r>
      <w:r w:rsidR="00091A58">
        <w:t>(21</w:t>
      </w:r>
      <w:r w:rsidR="000574EE">
        <w:t>% = USD 929 miljoen)</w:t>
      </w:r>
      <w:r w:rsidR="006652C3">
        <w:t xml:space="preserve"> van de lidstaten</w:t>
      </w:r>
      <w:r w:rsidR="000574EE">
        <w:t xml:space="preserve"> en vrijwillige bijdragen (7</w:t>
      </w:r>
      <w:r w:rsidR="00091A58">
        <w:t>9</w:t>
      </w:r>
      <w:r w:rsidR="000574EE">
        <w:t>% = USD 3,</w:t>
      </w:r>
      <w:r w:rsidR="00091A58">
        <w:t>456</w:t>
      </w:r>
      <w:r w:rsidR="000574EE">
        <w:t xml:space="preserve"> miljard)</w:t>
      </w:r>
      <w:r w:rsidR="00447773">
        <w:t xml:space="preserve"> van de lidstaten, andere </w:t>
      </w:r>
      <w:r w:rsidR="00992969">
        <w:t>VN-organisaties</w:t>
      </w:r>
      <w:r w:rsidR="00447773">
        <w:t xml:space="preserve"> (onder andere UNDP), multilaterale fondsen (bijvoorbeeld GAVI) en filantropische organisaties (zoals de </w:t>
      </w:r>
      <w:r w:rsidR="00447773" w:rsidRPr="00546466">
        <w:rPr>
          <w:i/>
        </w:rPr>
        <w:t xml:space="preserve">Bill </w:t>
      </w:r>
      <w:proofErr w:type="spellStart"/>
      <w:r w:rsidR="00447773" w:rsidRPr="00546466">
        <w:rPr>
          <w:i/>
        </w:rPr>
        <w:t>and</w:t>
      </w:r>
      <w:proofErr w:type="spellEnd"/>
      <w:r w:rsidR="00447773" w:rsidRPr="00546466">
        <w:rPr>
          <w:i/>
        </w:rPr>
        <w:t xml:space="preserve"> Melinda Gates Foundation </w:t>
      </w:r>
      <w:proofErr w:type="spellStart"/>
      <w:r w:rsidR="00546466">
        <w:rPr>
          <w:i/>
        </w:rPr>
        <w:t>and</w:t>
      </w:r>
      <w:proofErr w:type="spellEnd"/>
      <w:r w:rsidR="00546466">
        <w:rPr>
          <w:i/>
        </w:rPr>
        <w:t xml:space="preserve"> </w:t>
      </w:r>
      <w:r w:rsidR="00447773" w:rsidRPr="00546466">
        <w:rPr>
          <w:i/>
        </w:rPr>
        <w:t>Rotary</w:t>
      </w:r>
      <w:r w:rsidR="00447773">
        <w:t>).</w:t>
      </w:r>
      <w:r w:rsidR="000574EE">
        <w:t xml:space="preserve"> Dit betekent dat een groot deel van de in het programmabudget goedgekeurde uitgaven afhangen van vrijwillige bijdragen. De vaste</w:t>
      </w:r>
      <w:r w:rsidR="009F4AEF">
        <w:t xml:space="preserve"> bijdragen</w:t>
      </w:r>
      <w:r w:rsidR="000574EE">
        <w:t xml:space="preserve"> </w:t>
      </w:r>
      <w:r w:rsidR="000574EE">
        <w:lastRenderedPageBreak/>
        <w:t>contributies worden vooral gebruikt ter dekking van de vaste (</w:t>
      </w:r>
      <w:proofErr w:type="spellStart"/>
      <w:r w:rsidR="000574EE">
        <w:t>personeels</w:t>
      </w:r>
      <w:proofErr w:type="spellEnd"/>
      <w:r w:rsidR="000574EE">
        <w:t>)kosten</w:t>
      </w:r>
      <w:r w:rsidR="009B2203">
        <w:t xml:space="preserve"> en om de programma’s een startbudget te geven</w:t>
      </w:r>
      <w:r w:rsidR="000574EE">
        <w:t xml:space="preserve">. De grote afhankelijkheid van vrijwillige </w:t>
      </w:r>
      <w:r w:rsidR="00984A34">
        <w:rPr>
          <w:i/>
        </w:rPr>
        <w:t>non-</w:t>
      </w:r>
      <w:proofErr w:type="spellStart"/>
      <w:r w:rsidR="00984A34">
        <w:rPr>
          <w:i/>
        </w:rPr>
        <w:t>core</w:t>
      </w:r>
      <w:proofErr w:type="spellEnd"/>
      <w:r w:rsidR="00EC6C1A">
        <w:t xml:space="preserve"> </w:t>
      </w:r>
      <w:r w:rsidR="000574EE">
        <w:t xml:space="preserve">bijdragen wordt </w:t>
      </w:r>
      <w:r w:rsidR="00512D4D">
        <w:t xml:space="preserve">al geruime tijd </w:t>
      </w:r>
      <w:r w:rsidR="000574EE">
        <w:t>gezien als een van de problemen voor het optimaal functioneren van de WHO.</w:t>
      </w:r>
      <w:r w:rsidR="00D218FF">
        <w:t xml:space="preserve"> </w:t>
      </w:r>
      <w:r w:rsidR="00EC6C1A">
        <w:t xml:space="preserve">Volgens de PBAC was er in 2016 sprake van een discrepantie tussen beschikbare fondsen en de uitvoering vanwege een te groot deel aan </w:t>
      </w:r>
      <w:r w:rsidR="00984A34">
        <w:rPr>
          <w:i/>
        </w:rPr>
        <w:t>non-</w:t>
      </w:r>
      <w:proofErr w:type="spellStart"/>
      <w:r w:rsidR="00984A34">
        <w:rPr>
          <w:i/>
        </w:rPr>
        <w:t>core</w:t>
      </w:r>
      <w:proofErr w:type="spellEnd"/>
      <w:r w:rsidR="00EC6C1A">
        <w:t xml:space="preserve"> vrijwillige bijdragen. Dit probleem nam toe in 2016: er was een daling aan </w:t>
      </w:r>
      <w:proofErr w:type="spellStart"/>
      <w:r w:rsidR="00984A34">
        <w:rPr>
          <w:i/>
        </w:rPr>
        <w:t>core</w:t>
      </w:r>
      <w:proofErr w:type="spellEnd"/>
      <w:r w:rsidR="00EC6C1A">
        <w:t xml:space="preserve"> vrijwillige bijdragen, waard</w:t>
      </w:r>
      <w:r w:rsidR="00984A34">
        <w:t xml:space="preserve">oor circa 80% van de bijdragen </w:t>
      </w:r>
      <w:r w:rsidR="00984A34" w:rsidRPr="00546466">
        <w:rPr>
          <w:i/>
        </w:rPr>
        <w:t>non-</w:t>
      </w:r>
      <w:proofErr w:type="spellStart"/>
      <w:r w:rsidR="00984A34" w:rsidRPr="00546466">
        <w:rPr>
          <w:i/>
        </w:rPr>
        <w:t>c</w:t>
      </w:r>
      <w:r w:rsidR="00546466" w:rsidRPr="00546466">
        <w:rPr>
          <w:i/>
        </w:rPr>
        <w:t>o</w:t>
      </w:r>
      <w:r w:rsidR="00984A34" w:rsidRPr="00546466">
        <w:rPr>
          <w:i/>
        </w:rPr>
        <w:t>re</w:t>
      </w:r>
      <w:proofErr w:type="spellEnd"/>
      <w:r w:rsidR="00EC6C1A">
        <w:t xml:space="preserve"> is en circa 20% </w:t>
      </w:r>
      <w:proofErr w:type="spellStart"/>
      <w:r w:rsidR="00984A34">
        <w:rPr>
          <w:i/>
        </w:rPr>
        <w:t>core</w:t>
      </w:r>
      <w:proofErr w:type="spellEnd"/>
      <w:r w:rsidR="00EC6C1A">
        <w:t xml:space="preserve">. Dit zorgt ervoor dat de WHO in geval van een noodsituatie niet kan schuiven binnen de begroting om tijdig te interveniëren. </w:t>
      </w:r>
      <w:r w:rsidR="00D218FF">
        <w:t xml:space="preserve">De Director General heeft </w:t>
      </w:r>
      <w:r w:rsidR="00447773">
        <w:t xml:space="preserve">in </w:t>
      </w:r>
      <w:r w:rsidR="00992969">
        <w:t>2016</w:t>
      </w:r>
      <w:r w:rsidR="00447773">
        <w:t xml:space="preserve"> </w:t>
      </w:r>
      <w:r w:rsidR="00D218FF">
        <w:t>voorgesteld om</w:t>
      </w:r>
      <w:r w:rsidR="00C76A7C">
        <w:t xml:space="preserve"> de verplichte contributies van lidstaten te verhogen met </w:t>
      </w:r>
      <w:r w:rsidR="00E83485">
        <w:t>10%</w:t>
      </w:r>
      <w:r w:rsidR="00C76A7C">
        <w:t>.</w:t>
      </w:r>
      <w:r w:rsidR="00D218FF">
        <w:t xml:space="preserve"> </w:t>
      </w:r>
      <w:r w:rsidR="00C76A7C">
        <w:t>Hiermee zou het</w:t>
      </w:r>
      <w:r w:rsidR="002668D1">
        <w:t xml:space="preserve"> </w:t>
      </w:r>
      <w:r w:rsidR="00D218FF">
        <w:t xml:space="preserve">percentage van het budget dat betaald </w:t>
      </w:r>
      <w:r w:rsidR="00C76A7C">
        <w:t xml:space="preserve">wordt </w:t>
      </w:r>
      <w:r w:rsidR="00D218FF">
        <w:t xml:space="preserve">uit de verplichte </w:t>
      </w:r>
      <w:r w:rsidR="00447773">
        <w:t xml:space="preserve">bijdragen </w:t>
      </w:r>
      <w:r w:rsidR="00C76A7C">
        <w:t xml:space="preserve">verhoogd worden naar </w:t>
      </w:r>
      <w:r w:rsidR="00D218FF">
        <w:t xml:space="preserve">30%. </w:t>
      </w:r>
      <w:r w:rsidR="0060008F">
        <w:t xml:space="preserve">De onderhandelingen hierover </w:t>
      </w:r>
      <w:r w:rsidR="00EC6C1A">
        <w:t>zijn tijdens de World Health Assemb</w:t>
      </w:r>
      <w:r w:rsidR="00F107D7">
        <w:t>l</w:t>
      </w:r>
      <w:r w:rsidR="00EC6C1A">
        <w:t xml:space="preserve">y in mei 2017 gevoerd en de lidstaten hebben </w:t>
      </w:r>
      <w:r w:rsidR="007044D6">
        <w:t>uiteindelijk</w:t>
      </w:r>
      <w:r w:rsidR="00F107D7">
        <w:t xml:space="preserve"> </w:t>
      </w:r>
      <w:r w:rsidR="000712D0">
        <w:t>besloten</w:t>
      </w:r>
      <w:r w:rsidR="00EC6C1A">
        <w:t xml:space="preserve"> tot een verhoging van 3%.</w:t>
      </w:r>
      <w:r w:rsidR="00F107D7">
        <w:t xml:space="preserve"> Dit geeft de WHO</w:t>
      </w:r>
      <w:r w:rsidR="007044D6">
        <w:t xml:space="preserve"> 28 miljoen </w:t>
      </w:r>
      <w:r w:rsidR="00F107D7">
        <w:t xml:space="preserve">extra aan </w:t>
      </w:r>
      <w:proofErr w:type="spellStart"/>
      <w:r w:rsidR="00984A34">
        <w:rPr>
          <w:i/>
        </w:rPr>
        <w:t>core</w:t>
      </w:r>
      <w:proofErr w:type="spellEnd"/>
      <w:r w:rsidR="00F107D7">
        <w:t xml:space="preserve"> bijdrage</w:t>
      </w:r>
      <w:r w:rsidR="007044D6">
        <w:t xml:space="preserve">n. </w:t>
      </w:r>
    </w:p>
    <w:p w14:paraId="2E606C97" w14:textId="77777777" w:rsidR="000574EE" w:rsidRDefault="000574EE" w:rsidP="000574EE"/>
    <w:p w14:paraId="4432AC34" w14:textId="28F2CC7D" w:rsidR="005150FC" w:rsidRDefault="00BE458E" w:rsidP="005150FC">
      <w:r>
        <w:t xml:space="preserve">Financieel Overzicht </w:t>
      </w:r>
      <w:r w:rsidR="005150FC">
        <w:t>(bedragen in USD miljoen)</w:t>
      </w:r>
    </w:p>
    <w:p w14:paraId="059B95D4" w14:textId="77777777" w:rsidR="00546466" w:rsidRDefault="00546466" w:rsidP="005150FC"/>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220"/>
        <w:gridCol w:w="1221"/>
        <w:gridCol w:w="1255"/>
        <w:gridCol w:w="1721"/>
        <w:gridCol w:w="1056"/>
        <w:gridCol w:w="1224"/>
      </w:tblGrid>
      <w:tr w:rsidR="005150FC" w14:paraId="74874C5B" w14:textId="77777777" w:rsidTr="0018350E">
        <w:tc>
          <w:tcPr>
            <w:tcW w:w="793" w:type="pct"/>
            <w:tcBorders>
              <w:top w:val="single" w:sz="12" w:space="0" w:color="auto"/>
              <w:bottom w:val="single" w:sz="6" w:space="0" w:color="auto"/>
            </w:tcBorders>
            <w:shd w:val="clear" w:color="auto" w:fill="D9D9D9" w:themeFill="background1" w:themeFillShade="D9"/>
          </w:tcPr>
          <w:p w14:paraId="67052E71" w14:textId="77777777" w:rsidR="005150FC" w:rsidRDefault="005150FC" w:rsidP="005150FC"/>
        </w:tc>
        <w:tc>
          <w:tcPr>
            <w:tcW w:w="3412" w:type="pct"/>
            <w:gridSpan w:val="4"/>
            <w:tcBorders>
              <w:top w:val="single" w:sz="12" w:space="0" w:color="auto"/>
              <w:bottom w:val="single" w:sz="6" w:space="0" w:color="auto"/>
            </w:tcBorders>
            <w:shd w:val="clear" w:color="auto" w:fill="D9D9D9" w:themeFill="background1" w:themeFillShade="D9"/>
            <w:hideMark/>
          </w:tcPr>
          <w:p w14:paraId="4CD37FF0" w14:textId="77777777" w:rsidR="005150FC" w:rsidRDefault="005150FC" w:rsidP="005150FC">
            <w:pPr>
              <w:jc w:val="center"/>
              <w:rPr>
                <w:b/>
              </w:rPr>
            </w:pPr>
            <w:r>
              <w:rPr>
                <w:b/>
              </w:rPr>
              <w:t>Inkomsten</w:t>
            </w:r>
          </w:p>
        </w:tc>
        <w:tc>
          <w:tcPr>
            <w:tcW w:w="795" w:type="pct"/>
            <w:tcBorders>
              <w:top w:val="single" w:sz="12" w:space="0" w:color="auto"/>
              <w:bottom w:val="single" w:sz="6" w:space="0" w:color="auto"/>
            </w:tcBorders>
            <w:shd w:val="clear" w:color="auto" w:fill="D9D9D9" w:themeFill="background1" w:themeFillShade="D9"/>
            <w:hideMark/>
          </w:tcPr>
          <w:p w14:paraId="68E000B0" w14:textId="77777777" w:rsidR="005150FC" w:rsidRDefault="005150FC" w:rsidP="005150FC">
            <w:pPr>
              <w:jc w:val="right"/>
              <w:rPr>
                <w:b/>
              </w:rPr>
            </w:pPr>
            <w:r>
              <w:rPr>
                <w:b/>
              </w:rPr>
              <w:t>Uitgaven</w:t>
            </w:r>
          </w:p>
        </w:tc>
      </w:tr>
      <w:tr w:rsidR="005150FC" w14:paraId="2A450581" w14:textId="77777777" w:rsidTr="0018350E">
        <w:tc>
          <w:tcPr>
            <w:tcW w:w="793" w:type="pct"/>
            <w:tcBorders>
              <w:top w:val="single" w:sz="6" w:space="0" w:color="auto"/>
              <w:bottom w:val="nil"/>
            </w:tcBorders>
            <w:shd w:val="clear" w:color="auto" w:fill="D9D9D9" w:themeFill="background1" w:themeFillShade="D9"/>
            <w:hideMark/>
          </w:tcPr>
          <w:p w14:paraId="058938E5" w14:textId="77777777" w:rsidR="005150FC" w:rsidRDefault="0059680A" w:rsidP="005150FC">
            <w:pPr>
              <w:rPr>
                <w:i/>
              </w:rPr>
            </w:pPr>
            <w:r>
              <w:rPr>
                <w:i/>
              </w:rPr>
              <w:t>Jaar</w:t>
            </w:r>
          </w:p>
        </w:tc>
        <w:tc>
          <w:tcPr>
            <w:tcW w:w="793" w:type="pct"/>
            <w:tcBorders>
              <w:top w:val="single" w:sz="6" w:space="0" w:color="auto"/>
              <w:bottom w:val="nil"/>
            </w:tcBorders>
            <w:shd w:val="clear" w:color="auto" w:fill="D9D9D9" w:themeFill="background1" w:themeFillShade="D9"/>
            <w:hideMark/>
          </w:tcPr>
          <w:p w14:paraId="7C586A27" w14:textId="77777777" w:rsidR="005150FC" w:rsidRDefault="005150FC" w:rsidP="005150FC">
            <w:pPr>
              <w:rPr>
                <w:i/>
              </w:rPr>
            </w:pPr>
            <w:r>
              <w:rPr>
                <w:i/>
              </w:rPr>
              <w:t>Verplichte</w:t>
            </w:r>
          </w:p>
        </w:tc>
        <w:tc>
          <w:tcPr>
            <w:tcW w:w="1933" w:type="pct"/>
            <w:gridSpan w:val="2"/>
            <w:tcBorders>
              <w:top w:val="single" w:sz="6" w:space="0" w:color="auto"/>
              <w:bottom w:val="single" w:sz="6" w:space="0" w:color="auto"/>
            </w:tcBorders>
            <w:shd w:val="clear" w:color="auto" w:fill="D9D9D9" w:themeFill="background1" w:themeFillShade="D9"/>
            <w:hideMark/>
          </w:tcPr>
          <w:p w14:paraId="66ED4683" w14:textId="77777777" w:rsidR="005150FC" w:rsidRDefault="005150FC" w:rsidP="005150FC">
            <w:pPr>
              <w:jc w:val="center"/>
              <w:rPr>
                <w:i/>
              </w:rPr>
            </w:pPr>
            <w:r>
              <w:rPr>
                <w:i/>
              </w:rPr>
              <w:t>Vrijwillige bijdragen</w:t>
            </w:r>
          </w:p>
        </w:tc>
        <w:tc>
          <w:tcPr>
            <w:tcW w:w="686" w:type="pct"/>
            <w:tcBorders>
              <w:top w:val="single" w:sz="6" w:space="0" w:color="auto"/>
              <w:bottom w:val="nil"/>
            </w:tcBorders>
            <w:shd w:val="clear" w:color="auto" w:fill="D9D9D9" w:themeFill="background1" w:themeFillShade="D9"/>
            <w:hideMark/>
          </w:tcPr>
          <w:p w14:paraId="37B7029B" w14:textId="77777777" w:rsidR="005150FC" w:rsidRDefault="005150FC" w:rsidP="005150FC">
            <w:pPr>
              <w:jc w:val="right"/>
              <w:rPr>
                <w:i/>
              </w:rPr>
            </w:pPr>
            <w:r>
              <w:rPr>
                <w:i/>
              </w:rPr>
              <w:t>Totaal</w:t>
            </w:r>
          </w:p>
        </w:tc>
        <w:tc>
          <w:tcPr>
            <w:tcW w:w="795" w:type="pct"/>
            <w:tcBorders>
              <w:top w:val="single" w:sz="6" w:space="0" w:color="auto"/>
              <w:bottom w:val="nil"/>
            </w:tcBorders>
            <w:shd w:val="clear" w:color="auto" w:fill="D9D9D9" w:themeFill="background1" w:themeFillShade="D9"/>
            <w:hideMark/>
          </w:tcPr>
          <w:p w14:paraId="02EBC72F" w14:textId="77777777" w:rsidR="005150FC" w:rsidRDefault="005150FC" w:rsidP="005150FC">
            <w:pPr>
              <w:jc w:val="right"/>
              <w:rPr>
                <w:i/>
              </w:rPr>
            </w:pPr>
            <w:r>
              <w:rPr>
                <w:i/>
              </w:rPr>
              <w:t>Totaal</w:t>
            </w:r>
          </w:p>
        </w:tc>
      </w:tr>
      <w:tr w:rsidR="005150FC" w14:paraId="78631B45" w14:textId="77777777" w:rsidTr="0018350E">
        <w:tc>
          <w:tcPr>
            <w:tcW w:w="793" w:type="pct"/>
            <w:tcBorders>
              <w:top w:val="nil"/>
              <w:bottom w:val="single" w:sz="12" w:space="0" w:color="auto"/>
            </w:tcBorders>
            <w:shd w:val="clear" w:color="auto" w:fill="D9D9D9" w:themeFill="background1" w:themeFillShade="D9"/>
            <w:hideMark/>
          </w:tcPr>
          <w:p w14:paraId="34F0FEE2" w14:textId="77777777" w:rsidR="005150FC" w:rsidRDefault="005150FC" w:rsidP="005150FC">
            <w:pPr>
              <w:rPr>
                <w:i/>
              </w:rPr>
            </w:pPr>
          </w:p>
        </w:tc>
        <w:tc>
          <w:tcPr>
            <w:tcW w:w="793" w:type="pct"/>
            <w:tcBorders>
              <w:top w:val="nil"/>
              <w:bottom w:val="single" w:sz="12" w:space="0" w:color="auto"/>
            </w:tcBorders>
            <w:shd w:val="clear" w:color="auto" w:fill="D9D9D9" w:themeFill="background1" w:themeFillShade="D9"/>
            <w:hideMark/>
          </w:tcPr>
          <w:p w14:paraId="1C6EE67E" w14:textId="77777777" w:rsidR="005150FC" w:rsidRDefault="005150FC" w:rsidP="005150FC">
            <w:pPr>
              <w:rPr>
                <w:i/>
              </w:rPr>
            </w:pPr>
            <w:r>
              <w:rPr>
                <w:i/>
              </w:rPr>
              <w:t>bijdragen</w:t>
            </w:r>
          </w:p>
        </w:tc>
        <w:tc>
          <w:tcPr>
            <w:tcW w:w="815" w:type="pct"/>
            <w:tcBorders>
              <w:top w:val="nil"/>
              <w:bottom w:val="single" w:sz="12" w:space="0" w:color="auto"/>
            </w:tcBorders>
            <w:shd w:val="clear" w:color="auto" w:fill="D9D9D9" w:themeFill="background1" w:themeFillShade="D9"/>
            <w:hideMark/>
          </w:tcPr>
          <w:p w14:paraId="658D20B3" w14:textId="3A5C41BD" w:rsidR="005150FC" w:rsidRDefault="00784329" w:rsidP="005150FC">
            <w:pPr>
              <w:rPr>
                <w:i/>
              </w:rPr>
            </w:pPr>
            <w:r>
              <w:rPr>
                <w:i/>
              </w:rPr>
              <w:t>Non-</w:t>
            </w:r>
            <w:proofErr w:type="spellStart"/>
            <w:r>
              <w:rPr>
                <w:i/>
              </w:rPr>
              <w:t>core</w:t>
            </w:r>
            <w:proofErr w:type="spellEnd"/>
          </w:p>
        </w:tc>
        <w:tc>
          <w:tcPr>
            <w:tcW w:w="1118" w:type="pct"/>
            <w:tcBorders>
              <w:top w:val="nil"/>
              <w:bottom w:val="single" w:sz="12" w:space="0" w:color="auto"/>
            </w:tcBorders>
            <w:shd w:val="clear" w:color="auto" w:fill="D9D9D9" w:themeFill="background1" w:themeFillShade="D9"/>
            <w:hideMark/>
          </w:tcPr>
          <w:p w14:paraId="722C6451" w14:textId="6CB81568" w:rsidR="005150FC" w:rsidRDefault="002C4362" w:rsidP="002C4362">
            <w:pPr>
              <w:rPr>
                <w:i/>
              </w:rPr>
            </w:pPr>
            <w:proofErr w:type="spellStart"/>
            <w:r>
              <w:rPr>
                <w:i/>
              </w:rPr>
              <w:t>Core</w:t>
            </w:r>
            <w:proofErr w:type="spellEnd"/>
            <w:r>
              <w:rPr>
                <w:rStyle w:val="FootnoteReference"/>
                <w:i/>
              </w:rPr>
              <w:footnoteReference w:id="4"/>
            </w:r>
          </w:p>
        </w:tc>
        <w:tc>
          <w:tcPr>
            <w:tcW w:w="686" w:type="pct"/>
            <w:tcBorders>
              <w:top w:val="nil"/>
              <w:bottom w:val="single" w:sz="12" w:space="0" w:color="auto"/>
            </w:tcBorders>
            <w:shd w:val="clear" w:color="auto" w:fill="D9D9D9" w:themeFill="background1" w:themeFillShade="D9"/>
          </w:tcPr>
          <w:p w14:paraId="2C1169D8" w14:textId="77777777" w:rsidR="005150FC" w:rsidRDefault="005150FC" w:rsidP="005150FC">
            <w:pPr>
              <w:rPr>
                <w:i/>
              </w:rPr>
            </w:pPr>
          </w:p>
        </w:tc>
        <w:tc>
          <w:tcPr>
            <w:tcW w:w="795" w:type="pct"/>
            <w:tcBorders>
              <w:top w:val="nil"/>
              <w:bottom w:val="single" w:sz="12" w:space="0" w:color="auto"/>
            </w:tcBorders>
            <w:shd w:val="clear" w:color="auto" w:fill="D9D9D9" w:themeFill="background1" w:themeFillShade="D9"/>
          </w:tcPr>
          <w:p w14:paraId="33164508" w14:textId="77777777" w:rsidR="005150FC" w:rsidRDefault="005150FC" w:rsidP="005150FC">
            <w:pPr>
              <w:rPr>
                <w:i/>
              </w:rPr>
            </w:pPr>
          </w:p>
        </w:tc>
      </w:tr>
      <w:tr w:rsidR="005150FC" w14:paraId="62208797" w14:textId="77777777" w:rsidTr="00546466">
        <w:tc>
          <w:tcPr>
            <w:tcW w:w="793" w:type="pct"/>
            <w:tcBorders>
              <w:top w:val="single" w:sz="12" w:space="0" w:color="auto"/>
            </w:tcBorders>
            <w:hideMark/>
          </w:tcPr>
          <w:p w14:paraId="0D1A1E54" w14:textId="77777777" w:rsidR="005150FC" w:rsidRDefault="003A1E73" w:rsidP="005150FC">
            <w:r>
              <w:t>201</w:t>
            </w:r>
            <w:r w:rsidR="001166D2">
              <w:t>2-2013</w:t>
            </w:r>
          </w:p>
        </w:tc>
        <w:tc>
          <w:tcPr>
            <w:tcW w:w="793" w:type="pct"/>
            <w:tcBorders>
              <w:top w:val="single" w:sz="12" w:space="0" w:color="auto"/>
            </w:tcBorders>
          </w:tcPr>
          <w:p w14:paraId="3E0A4486" w14:textId="77777777" w:rsidR="005150FC" w:rsidRDefault="0062073A" w:rsidP="00BC4526">
            <w:pPr>
              <w:tabs>
                <w:tab w:val="decimal" w:pos="674"/>
              </w:tabs>
              <w:jc w:val="right"/>
            </w:pPr>
            <w:r>
              <w:t>948</w:t>
            </w:r>
          </w:p>
        </w:tc>
        <w:tc>
          <w:tcPr>
            <w:tcW w:w="815" w:type="pct"/>
            <w:tcBorders>
              <w:top w:val="single" w:sz="12" w:space="0" w:color="auto"/>
            </w:tcBorders>
          </w:tcPr>
          <w:p w14:paraId="2AF39183" w14:textId="77777777" w:rsidR="005150FC" w:rsidRDefault="0062073A" w:rsidP="00BC4526">
            <w:pPr>
              <w:tabs>
                <w:tab w:val="decimal" w:pos="780"/>
              </w:tabs>
              <w:jc w:val="right"/>
            </w:pPr>
            <w:r>
              <w:t>3.501</w:t>
            </w:r>
          </w:p>
        </w:tc>
        <w:tc>
          <w:tcPr>
            <w:tcW w:w="1118" w:type="pct"/>
            <w:tcBorders>
              <w:top w:val="single" w:sz="12" w:space="0" w:color="auto"/>
            </w:tcBorders>
          </w:tcPr>
          <w:p w14:paraId="5D221758" w14:textId="77777777" w:rsidR="005150FC" w:rsidRDefault="0062073A" w:rsidP="00BC4526">
            <w:pPr>
              <w:tabs>
                <w:tab w:val="decimal" w:pos="887"/>
              </w:tabs>
              <w:jc w:val="right"/>
            </w:pPr>
            <w:r>
              <w:t>250</w:t>
            </w:r>
          </w:p>
        </w:tc>
        <w:tc>
          <w:tcPr>
            <w:tcW w:w="686" w:type="pct"/>
            <w:tcBorders>
              <w:top w:val="single" w:sz="12" w:space="0" w:color="auto"/>
            </w:tcBorders>
          </w:tcPr>
          <w:p w14:paraId="7FE6731E" w14:textId="77777777" w:rsidR="005150FC" w:rsidRDefault="0062073A" w:rsidP="00BC4526">
            <w:pPr>
              <w:tabs>
                <w:tab w:val="decimal" w:pos="743"/>
              </w:tabs>
              <w:jc w:val="right"/>
            </w:pPr>
            <w:r>
              <w:t>4.699</w:t>
            </w:r>
          </w:p>
        </w:tc>
        <w:tc>
          <w:tcPr>
            <w:tcW w:w="795" w:type="pct"/>
            <w:tcBorders>
              <w:top w:val="single" w:sz="12" w:space="0" w:color="auto"/>
            </w:tcBorders>
          </w:tcPr>
          <w:p w14:paraId="46DB322B" w14:textId="77777777" w:rsidR="005150FC" w:rsidRDefault="00917992" w:rsidP="00E83485">
            <w:pPr>
              <w:tabs>
                <w:tab w:val="decimal" w:pos="885"/>
              </w:tabs>
              <w:jc w:val="right"/>
            </w:pPr>
            <w:r>
              <w:t>3.9</w:t>
            </w:r>
            <w:r w:rsidR="00E83485">
              <w:t>59</w:t>
            </w:r>
          </w:p>
        </w:tc>
      </w:tr>
      <w:tr w:rsidR="005150FC" w14:paraId="00AAB17B" w14:textId="77777777" w:rsidTr="00546466">
        <w:tc>
          <w:tcPr>
            <w:tcW w:w="793" w:type="pct"/>
            <w:hideMark/>
          </w:tcPr>
          <w:p w14:paraId="14FEA23F" w14:textId="77777777" w:rsidR="005150FC" w:rsidRDefault="003A1E73" w:rsidP="005150FC">
            <w:r>
              <w:t>201</w:t>
            </w:r>
            <w:r w:rsidR="001166D2">
              <w:t>4-2015</w:t>
            </w:r>
          </w:p>
        </w:tc>
        <w:tc>
          <w:tcPr>
            <w:tcW w:w="793" w:type="pct"/>
          </w:tcPr>
          <w:p w14:paraId="07A2FE11" w14:textId="77777777" w:rsidR="005150FC" w:rsidRDefault="000A34C3" w:rsidP="00BC4526">
            <w:pPr>
              <w:tabs>
                <w:tab w:val="decimal" w:pos="674"/>
              </w:tabs>
              <w:jc w:val="right"/>
            </w:pPr>
            <w:r>
              <w:t>9</w:t>
            </w:r>
            <w:r w:rsidR="001166D2">
              <w:t>29</w:t>
            </w:r>
          </w:p>
        </w:tc>
        <w:tc>
          <w:tcPr>
            <w:tcW w:w="815" w:type="pct"/>
          </w:tcPr>
          <w:p w14:paraId="12F987FA" w14:textId="77777777" w:rsidR="005150FC" w:rsidRDefault="00BC4526" w:rsidP="00BC4526">
            <w:pPr>
              <w:tabs>
                <w:tab w:val="decimal" w:pos="780"/>
              </w:tabs>
              <w:jc w:val="right"/>
            </w:pPr>
            <w:r>
              <w:t>3.445</w:t>
            </w:r>
          </w:p>
        </w:tc>
        <w:tc>
          <w:tcPr>
            <w:tcW w:w="1118" w:type="pct"/>
          </w:tcPr>
          <w:p w14:paraId="09E24556" w14:textId="77777777" w:rsidR="005150FC" w:rsidRDefault="00610527" w:rsidP="00BC4526">
            <w:pPr>
              <w:tabs>
                <w:tab w:val="decimal" w:pos="887"/>
              </w:tabs>
              <w:jc w:val="right"/>
            </w:pPr>
            <w:r>
              <w:t>508</w:t>
            </w:r>
          </w:p>
        </w:tc>
        <w:tc>
          <w:tcPr>
            <w:tcW w:w="686" w:type="pct"/>
          </w:tcPr>
          <w:p w14:paraId="488A9A9B" w14:textId="77777777" w:rsidR="005150FC" w:rsidRDefault="000A34C3" w:rsidP="00BC4526">
            <w:pPr>
              <w:tabs>
                <w:tab w:val="decimal" w:pos="743"/>
              </w:tabs>
              <w:jc w:val="right"/>
            </w:pPr>
            <w:r>
              <w:t>4</w:t>
            </w:r>
            <w:r w:rsidR="0097729D">
              <w:t>.</w:t>
            </w:r>
            <w:r w:rsidR="00BC4526">
              <w:t>882</w:t>
            </w:r>
          </w:p>
        </w:tc>
        <w:tc>
          <w:tcPr>
            <w:tcW w:w="795" w:type="pct"/>
          </w:tcPr>
          <w:p w14:paraId="085A0627" w14:textId="77777777" w:rsidR="005150FC" w:rsidRDefault="00BC4526" w:rsidP="00BC4526">
            <w:pPr>
              <w:tabs>
                <w:tab w:val="decimal" w:pos="885"/>
              </w:tabs>
              <w:jc w:val="right"/>
            </w:pPr>
            <w:r>
              <w:t>5.055</w:t>
            </w:r>
          </w:p>
        </w:tc>
      </w:tr>
      <w:tr w:rsidR="005150FC" w14:paraId="5A7FD56D" w14:textId="77777777" w:rsidTr="00546466">
        <w:tc>
          <w:tcPr>
            <w:tcW w:w="793" w:type="pct"/>
          </w:tcPr>
          <w:p w14:paraId="2F676EB6" w14:textId="77777777" w:rsidR="005150FC" w:rsidRDefault="003A1E73" w:rsidP="005150FC">
            <w:r>
              <w:t>201</w:t>
            </w:r>
            <w:r w:rsidR="001166D2">
              <w:t>6-2017</w:t>
            </w:r>
            <w:r w:rsidR="00BC4526">
              <w:t>*</w:t>
            </w:r>
          </w:p>
        </w:tc>
        <w:tc>
          <w:tcPr>
            <w:tcW w:w="793" w:type="pct"/>
          </w:tcPr>
          <w:p w14:paraId="2E0F0A58" w14:textId="77777777" w:rsidR="005150FC" w:rsidRDefault="001166D2" w:rsidP="00BC4526">
            <w:pPr>
              <w:tabs>
                <w:tab w:val="decimal" w:pos="674"/>
              </w:tabs>
              <w:jc w:val="right"/>
            </w:pPr>
            <w:r>
              <w:t>929</w:t>
            </w:r>
          </w:p>
        </w:tc>
        <w:tc>
          <w:tcPr>
            <w:tcW w:w="815" w:type="pct"/>
          </w:tcPr>
          <w:p w14:paraId="120CA93A" w14:textId="77777777" w:rsidR="005150FC" w:rsidRDefault="00BC4526" w:rsidP="00BC4526">
            <w:pPr>
              <w:tabs>
                <w:tab w:val="decimal" w:pos="780"/>
              </w:tabs>
              <w:jc w:val="right"/>
            </w:pPr>
            <w:r>
              <w:t>3.159</w:t>
            </w:r>
          </w:p>
        </w:tc>
        <w:tc>
          <w:tcPr>
            <w:tcW w:w="1118" w:type="pct"/>
          </w:tcPr>
          <w:p w14:paraId="0AC4CA56" w14:textId="77777777" w:rsidR="005150FC" w:rsidRDefault="00BC4526" w:rsidP="00BC4526">
            <w:pPr>
              <w:jc w:val="right"/>
            </w:pPr>
            <w:r>
              <w:t>129</w:t>
            </w:r>
          </w:p>
        </w:tc>
        <w:tc>
          <w:tcPr>
            <w:tcW w:w="686" w:type="pct"/>
          </w:tcPr>
          <w:p w14:paraId="3A93002D" w14:textId="77777777" w:rsidR="005150FC" w:rsidRDefault="00EF64FD" w:rsidP="00BC4526">
            <w:pPr>
              <w:jc w:val="right"/>
            </w:pPr>
            <w:r>
              <w:t>4.834</w:t>
            </w:r>
          </w:p>
        </w:tc>
        <w:tc>
          <w:tcPr>
            <w:tcW w:w="795" w:type="pct"/>
          </w:tcPr>
          <w:p w14:paraId="347A7FA6" w14:textId="77777777" w:rsidR="005150FC" w:rsidRDefault="00EF64FD" w:rsidP="00EF64FD">
            <w:pPr>
              <w:tabs>
                <w:tab w:val="decimal" w:pos="885"/>
              </w:tabs>
              <w:jc w:val="right"/>
            </w:pPr>
            <w:r>
              <w:t>4.545</w:t>
            </w:r>
          </w:p>
        </w:tc>
      </w:tr>
    </w:tbl>
    <w:p w14:paraId="185E1F63" w14:textId="77777777" w:rsidR="00546466" w:rsidRDefault="00546466" w:rsidP="00B95FC2"/>
    <w:p w14:paraId="23C3E530" w14:textId="3E012F5E" w:rsidR="005150FC" w:rsidRPr="009C404F" w:rsidRDefault="00546466" w:rsidP="005150FC">
      <w:r>
        <w:t xml:space="preserve">* Inkomsten en uitgaven over </w:t>
      </w:r>
      <w:proofErr w:type="spellStart"/>
      <w:r>
        <w:t>bië</w:t>
      </w:r>
      <w:r w:rsidR="00BC4526">
        <w:t>nnium</w:t>
      </w:r>
      <w:proofErr w:type="spellEnd"/>
      <w:r w:rsidR="00BC4526">
        <w:t xml:space="preserve"> 2016-2017 zijn de voorspelde bedragen.</w:t>
      </w:r>
    </w:p>
    <w:p w14:paraId="602951B5" w14:textId="77777777" w:rsidR="00546466" w:rsidRDefault="00546466" w:rsidP="005150FC"/>
    <w:p w14:paraId="7920D5A3" w14:textId="3499CAC3" w:rsidR="005150FC" w:rsidRDefault="005150FC" w:rsidP="005150FC">
      <w:r w:rsidRPr="004D372F">
        <w:t>Overzicht bijdragen en ranking grootste donoren</w:t>
      </w:r>
      <w:r w:rsidR="00546466">
        <w:t xml:space="preserve"> </w:t>
      </w:r>
      <w:r>
        <w:t>(bedragen in USD miljoen)</w:t>
      </w:r>
    </w:p>
    <w:p w14:paraId="7BB0C4AC" w14:textId="77777777" w:rsidR="005150FC" w:rsidRDefault="005150FC" w:rsidP="005150FC"/>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756"/>
        <w:gridCol w:w="1923"/>
        <w:gridCol w:w="3083"/>
        <w:gridCol w:w="1935"/>
      </w:tblGrid>
      <w:tr w:rsidR="005150FC" w14:paraId="755ACFCB" w14:textId="77777777" w:rsidTr="00F77245">
        <w:tc>
          <w:tcPr>
            <w:tcW w:w="491" w:type="pct"/>
            <w:hideMark/>
          </w:tcPr>
          <w:p w14:paraId="4776016E" w14:textId="77777777" w:rsidR="005150FC" w:rsidRPr="00A13499" w:rsidRDefault="005150FC" w:rsidP="005150FC">
            <w:pPr>
              <w:rPr>
                <w:b/>
              </w:rPr>
            </w:pPr>
            <w:r w:rsidRPr="00A13499">
              <w:rPr>
                <w:b/>
              </w:rPr>
              <w:t>Jaar</w:t>
            </w:r>
          </w:p>
        </w:tc>
        <w:tc>
          <w:tcPr>
            <w:tcW w:w="1249" w:type="pct"/>
            <w:hideMark/>
          </w:tcPr>
          <w:p w14:paraId="1521B80C" w14:textId="77777777" w:rsidR="005150FC" w:rsidRPr="00A13499" w:rsidRDefault="005150FC" w:rsidP="005150FC">
            <w:pPr>
              <w:rPr>
                <w:b/>
              </w:rPr>
            </w:pPr>
            <w:r w:rsidRPr="00A13499">
              <w:rPr>
                <w:b/>
              </w:rPr>
              <w:t>Bijdrage</w:t>
            </w:r>
          </w:p>
        </w:tc>
        <w:tc>
          <w:tcPr>
            <w:tcW w:w="2003" w:type="pct"/>
            <w:hideMark/>
          </w:tcPr>
          <w:p w14:paraId="499E6B17" w14:textId="77777777" w:rsidR="005150FC" w:rsidRPr="00A13499" w:rsidRDefault="005150FC" w:rsidP="005150FC">
            <w:pPr>
              <w:rPr>
                <w:b/>
              </w:rPr>
            </w:pPr>
            <w:r w:rsidRPr="00A13499">
              <w:rPr>
                <w:b/>
              </w:rPr>
              <w:t>Ranking/donor</w:t>
            </w:r>
          </w:p>
        </w:tc>
        <w:tc>
          <w:tcPr>
            <w:tcW w:w="1257" w:type="pct"/>
            <w:hideMark/>
          </w:tcPr>
          <w:p w14:paraId="5D7F3D2D" w14:textId="77777777" w:rsidR="005150FC" w:rsidRPr="00A13499" w:rsidRDefault="005150FC" w:rsidP="005150FC">
            <w:pPr>
              <w:jc w:val="center"/>
              <w:rPr>
                <w:b/>
              </w:rPr>
            </w:pPr>
            <w:r w:rsidRPr="00A13499">
              <w:rPr>
                <w:b/>
              </w:rPr>
              <w:t>Bedrag</w:t>
            </w:r>
          </w:p>
        </w:tc>
      </w:tr>
      <w:tr w:rsidR="005150FC" w14:paraId="50115566" w14:textId="77777777" w:rsidTr="00F77245">
        <w:tc>
          <w:tcPr>
            <w:tcW w:w="491" w:type="pct"/>
            <w:shd w:val="clear" w:color="auto" w:fill="D9D9D9"/>
          </w:tcPr>
          <w:p w14:paraId="37E2A6E4" w14:textId="77777777" w:rsidR="005150FC" w:rsidRDefault="005150FC" w:rsidP="005150FC"/>
        </w:tc>
        <w:tc>
          <w:tcPr>
            <w:tcW w:w="1249" w:type="pct"/>
            <w:shd w:val="clear" w:color="auto" w:fill="D9D9D9"/>
          </w:tcPr>
          <w:p w14:paraId="0D295452" w14:textId="77777777" w:rsidR="005150FC" w:rsidRDefault="005150FC" w:rsidP="005150FC"/>
        </w:tc>
        <w:tc>
          <w:tcPr>
            <w:tcW w:w="2003" w:type="pct"/>
            <w:shd w:val="clear" w:color="auto" w:fill="D9D9D9"/>
          </w:tcPr>
          <w:p w14:paraId="059478F4" w14:textId="77777777" w:rsidR="005150FC" w:rsidRDefault="005150FC" w:rsidP="005150FC"/>
        </w:tc>
        <w:tc>
          <w:tcPr>
            <w:tcW w:w="1257" w:type="pct"/>
            <w:shd w:val="clear" w:color="auto" w:fill="D9D9D9"/>
          </w:tcPr>
          <w:p w14:paraId="2BF0CDBB" w14:textId="77777777" w:rsidR="005150FC" w:rsidRPr="00161DAE" w:rsidRDefault="00161DAE" w:rsidP="005150FC">
            <w:pPr>
              <w:rPr>
                <w:b/>
                <w:i/>
              </w:rPr>
            </w:pPr>
            <w:r w:rsidRPr="00161DAE">
              <w:rPr>
                <w:b/>
                <w:i/>
              </w:rPr>
              <w:t>Voor</w:t>
            </w:r>
            <w:r w:rsidR="009C404F" w:rsidRPr="00161DAE">
              <w:rPr>
                <w:b/>
                <w:i/>
              </w:rPr>
              <w:t xml:space="preserve"> 2 jaren</w:t>
            </w:r>
          </w:p>
        </w:tc>
      </w:tr>
      <w:tr w:rsidR="00784329" w14:paraId="1D36C986" w14:textId="77777777" w:rsidTr="00F77245">
        <w:tc>
          <w:tcPr>
            <w:tcW w:w="491" w:type="pct"/>
            <w:vMerge w:val="restart"/>
            <w:hideMark/>
          </w:tcPr>
          <w:p w14:paraId="44061B6C" w14:textId="77777777" w:rsidR="00784329" w:rsidRDefault="00784329" w:rsidP="00BC7D8C">
            <w:r>
              <w:t>2014-2015</w:t>
            </w:r>
          </w:p>
        </w:tc>
        <w:tc>
          <w:tcPr>
            <w:tcW w:w="1249" w:type="pct"/>
            <w:vMerge w:val="restart"/>
            <w:hideMark/>
          </w:tcPr>
          <w:p w14:paraId="3956D141" w14:textId="77777777" w:rsidR="00784329" w:rsidRDefault="00784329" w:rsidP="005150FC">
            <w:proofErr w:type="spellStart"/>
            <w:r w:rsidRPr="00A13499">
              <w:rPr>
                <w:i/>
              </w:rPr>
              <w:t>Core</w:t>
            </w:r>
            <w:proofErr w:type="spellEnd"/>
            <w:r>
              <w:t>-bijdrage</w:t>
            </w:r>
          </w:p>
        </w:tc>
        <w:tc>
          <w:tcPr>
            <w:tcW w:w="2003" w:type="pct"/>
            <w:hideMark/>
          </w:tcPr>
          <w:p w14:paraId="52A68E58" w14:textId="77777777" w:rsidR="00784329" w:rsidRDefault="00784329" w:rsidP="005150FC">
            <w:r>
              <w:t>1. Verenigde Staten</w:t>
            </w:r>
          </w:p>
        </w:tc>
        <w:tc>
          <w:tcPr>
            <w:tcW w:w="1257" w:type="pct"/>
          </w:tcPr>
          <w:p w14:paraId="5AAF96BD" w14:textId="77777777" w:rsidR="00784329" w:rsidRDefault="00784329" w:rsidP="009C404F">
            <w:pPr>
              <w:tabs>
                <w:tab w:val="decimal" w:pos="1026"/>
              </w:tabs>
              <w:jc w:val="right"/>
            </w:pPr>
            <w:r>
              <w:t>231</w:t>
            </w:r>
          </w:p>
        </w:tc>
      </w:tr>
      <w:tr w:rsidR="00784329" w14:paraId="068E00DA" w14:textId="77777777" w:rsidTr="00F77245">
        <w:tc>
          <w:tcPr>
            <w:tcW w:w="491" w:type="pct"/>
            <w:vMerge/>
          </w:tcPr>
          <w:p w14:paraId="59DDCCA1" w14:textId="77777777" w:rsidR="00784329" w:rsidRDefault="00784329" w:rsidP="005150FC"/>
        </w:tc>
        <w:tc>
          <w:tcPr>
            <w:tcW w:w="1249" w:type="pct"/>
            <w:vMerge/>
          </w:tcPr>
          <w:p w14:paraId="2D002A1C" w14:textId="77777777" w:rsidR="00784329" w:rsidRDefault="00784329" w:rsidP="005150FC"/>
        </w:tc>
        <w:tc>
          <w:tcPr>
            <w:tcW w:w="2003" w:type="pct"/>
            <w:hideMark/>
          </w:tcPr>
          <w:p w14:paraId="7A5C440B" w14:textId="77777777" w:rsidR="00784329" w:rsidRDefault="00784329" w:rsidP="005150FC">
            <w:r>
              <w:t>2. Japan</w:t>
            </w:r>
          </w:p>
        </w:tc>
        <w:tc>
          <w:tcPr>
            <w:tcW w:w="1257" w:type="pct"/>
          </w:tcPr>
          <w:p w14:paraId="40AB4BF6" w14:textId="77777777" w:rsidR="00784329" w:rsidRDefault="00784329" w:rsidP="009C404F">
            <w:pPr>
              <w:tabs>
                <w:tab w:val="decimal" w:pos="1026"/>
              </w:tabs>
              <w:jc w:val="right"/>
            </w:pPr>
            <w:r>
              <w:t>101</w:t>
            </w:r>
          </w:p>
        </w:tc>
      </w:tr>
      <w:tr w:rsidR="00784329" w14:paraId="2556ECCA" w14:textId="77777777" w:rsidTr="00F77245">
        <w:tc>
          <w:tcPr>
            <w:tcW w:w="491" w:type="pct"/>
            <w:vMerge/>
          </w:tcPr>
          <w:p w14:paraId="10C34E91" w14:textId="77777777" w:rsidR="00784329" w:rsidRDefault="00784329" w:rsidP="005150FC"/>
        </w:tc>
        <w:tc>
          <w:tcPr>
            <w:tcW w:w="1249" w:type="pct"/>
            <w:vMerge/>
          </w:tcPr>
          <w:p w14:paraId="2FA9B9F6" w14:textId="77777777" w:rsidR="00784329" w:rsidRDefault="00784329" w:rsidP="005150FC"/>
        </w:tc>
        <w:tc>
          <w:tcPr>
            <w:tcW w:w="2003" w:type="pct"/>
            <w:hideMark/>
          </w:tcPr>
          <w:p w14:paraId="1D4FEF6E" w14:textId="77777777" w:rsidR="00784329" w:rsidRPr="008256DC" w:rsidRDefault="00784329" w:rsidP="005150FC">
            <w:pPr>
              <w:rPr>
                <w:b/>
              </w:rPr>
            </w:pPr>
            <w:r w:rsidRPr="008256DC">
              <w:rPr>
                <w:b/>
              </w:rPr>
              <w:t>15. Nederland</w:t>
            </w:r>
          </w:p>
        </w:tc>
        <w:tc>
          <w:tcPr>
            <w:tcW w:w="1257" w:type="pct"/>
          </w:tcPr>
          <w:p w14:paraId="1EA1195E" w14:textId="77777777" w:rsidR="00784329" w:rsidRPr="008256DC" w:rsidRDefault="00784329" w:rsidP="009C404F">
            <w:pPr>
              <w:tabs>
                <w:tab w:val="decimal" w:pos="1026"/>
              </w:tabs>
              <w:jc w:val="right"/>
              <w:rPr>
                <w:b/>
              </w:rPr>
            </w:pPr>
            <w:r w:rsidRPr="008256DC">
              <w:rPr>
                <w:b/>
              </w:rPr>
              <w:t>15</w:t>
            </w:r>
          </w:p>
        </w:tc>
      </w:tr>
      <w:tr w:rsidR="00784329" w14:paraId="1E87D452" w14:textId="77777777" w:rsidTr="00F77245">
        <w:tc>
          <w:tcPr>
            <w:tcW w:w="491" w:type="pct"/>
            <w:vMerge/>
          </w:tcPr>
          <w:p w14:paraId="12C6B95B" w14:textId="77777777" w:rsidR="00784329" w:rsidRDefault="00784329" w:rsidP="005150FC"/>
        </w:tc>
        <w:tc>
          <w:tcPr>
            <w:tcW w:w="1249" w:type="pct"/>
            <w:vMerge w:val="restart"/>
            <w:hideMark/>
          </w:tcPr>
          <w:p w14:paraId="6CC1A5D5" w14:textId="77777777" w:rsidR="00784329" w:rsidRDefault="00784329" w:rsidP="005150FC">
            <w:r w:rsidRPr="00A13499">
              <w:rPr>
                <w:i/>
              </w:rPr>
              <w:t>Non-</w:t>
            </w:r>
            <w:proofErr w:type="spellStart"/>
            <w:r w:rsidRPr="00A13499">
              <w:rPr>
                <w:i/>
              </w:rPr>
              <w:t>core</w:t>
            </w:r>
            <w:proofErr w:type="spellEnd"/>
            <w:r>
              <w:t>-bijdragen</w:t>
            </w:r>
          </w:p>
        </w:tc>
        <w:tc>
          <w:tcPr>
            <w:tcW w:w="2003" w:type="pct"/>
            <w:hideMark/>
          </w:tcPr>
          <w:p w14:paraId="5C03CB0C" w14:textId="77777777" w:rsidR="00784329" w:rsidRDefault="00784329" w:rsidP="005150FC">
            <w:r>
              <w:t>1. Verenigde Staten</w:t>
            </w:r>
          </w:p>
        </w:tc>
        <w:tc>
          <w:tcPr>
            <w:tcW w:w="1257" w:type="pct"/>
          </w:tcPr>
          <w:p w14:paraId="18917024" w14:textId="77777777" w:rsidR="00784329" w:rsidRDefault="00784329" w:rsidP="009C404F">
            <w:pPr>
              <w:tabs>
                <w:tab w:val="decimal" w:pos="1026"/>
              </w:tabs>
              <w:jc w:val="right"/>
            </w:pPr>
            <w:r>
              <w:t>606</w:t>
            </w:r>
          </w:p>
        </w:tc>
      </w:tr>
      <w:tr w:rsidR="00784329" w14:paraId="1D93F0C7" w14:textId="77777777" w:rsidTr="00F77245">
        <w:tc>
          <w:tcPr>
            <w:tcW w:w="491" w:type="pct"/>
            <w:vMerge/>
          </w:tcPr>
          <w:p w14:paraId="5BE90CF4" w14:textId="77777777" w:rsidR="00784329" w:rsidRDefault="00784329" w:rsidP="005150FC"/>
        </w:tc>
        <w:tc>
          <w:tcPr>
            <w:tcW w:w="1249" w:type="pct"/>
            <w:vMerge/>
          </w:tcPr>
          <w:p w14:paraId="16A2CB34" w14:textId="77777777" w:rsidR="00784329" w:rsidRDefault="00784329" w:rsidP="005150FC"/>
        </w:tc>
        <w:tc>
          <w:tcPr>
            <w:tcW w:w="2003" w:type="pct"/>
            <w:hideMark/>
          </w:tcPr>
          <w:p w14:paraId="7E5A4634" w14:textId="77777777" w:rsidR="00784329" w:rsidRDefault="00784329" w:rsidP="005150FC">
            <w:r>
              <w:t>2. Verenigd Koninkrijk</w:t>
            </w:r>
          </w:p>
        </w:tc>
        <w:tc>
          <w:tcPr>
            <w:tcW w:w="1257" w:type="pct"/>
          </w:tcPr>
          <w:p w14:paraId="6844418F" w14:textId="77777777" w:rsidR="00784329" w:rsidRDefault="00784329" w:rsidP="009C404F">
            <w:pPr>
              <w:tabs>
                <w:tab w:val="decimal" w:pos="1026"/>
              </w:tabs>
              <w:jc w:val="right"/>
            </w:pPr>
            <w:r>
              <w:t>351</w:t>
            </w:r>
          </w:p>
        </w:tc>
      </w:tr>
      <w:tr w:rsidR="00784329" w14:paraId="6680ED0A" w14:textId="77777777" w:rsidTr="00F77245">
        <w:tc>
          <w:tcPr>
            <w:tcW w:w="491" w:type="pct"/>
            <w:vMerge/>
          </w:tcPr>
          <w:p w14:paraId="4F88D65D" w14:textId="77777777" w:rsidR="00784329" w:rsidRDefault="00784329" w:rsidP="005150FC"/>
        </w:tc>
        <w:tc>
          <w:tcPr>
            <w:tcW w:w="1249" w:type="pct"/>
            <w:vMerge/>
          </w:tcPr>
          <w:p w14:paraId="4F947FFB" w14:textId="77777777" w:rsidR="00784329" w:rsidRDefault="00784329" w:rsidP="005150FC"/>
        </w:tc>
        <w:tc>
          <w:tcPr>
            <w:tcW w:w="2003" w:type="pct"/>
            <w:hideMark/>
          </w:tcPr>
          <w:p w14:paraId="0EFEA3FE" w14:textId="77777777" w:rsidR="00784329" w:rsidRPr="008256DC" w:rsidRDefault="00784329" w:rsidP="005150FC">
            <w:pPr>
              <w:rPr>
                <w:b/>
              </w:rPr>
            </w:pPr>
            <w:r w:rsidRPr="008256DC">
              <w:rPr>
                <w:b/>
              </w:rPr>
              <w:t>9. Nederland</w:t>
            </w:r>
          </w:p>
        </w:tc>
        <w:tc>
          <w:tcPr>
            <w:tcW w:w="1257" w:type="pct"/>
          </w:tcPr>
          <w:p w14:paraId="59E5F8A6" w14:textId="77777777" w:rsidR="00784329" w:rsidRPr="008256DC" w:rsidRDefault="00784329" w:rsidP="009C404F">
            <w:pPr>
              <w:tabs>
                <w:tab w:val="decimal" w:pos="1026"/>
              </w:tabs>
              <w:jc w:val="right"/>
              <w:rPr>
                <w:b/>
              </w:rPr>
            </w:pPr>
            <w:r w:rsidRPr="008256DC">
              <w:rPr>
                <w:b/>
              </w:rPr>
              <w:t>43</w:t>
            </w:r>
          </w:p>
        </w:tc>
      </w:tr>
      <w:tr w:rsidR="00784329" w14:paraId="1E7F80AC" w14:textId="77777777" w:rsidTr="00F77245">
        <w:tc>
          <w:tcPr>
            <w:tcW w:w="491" w:type="pct"/>
            <w:vMerge/>
          </w:tcPr>
          <w:p w14:paraId="7B1298AF" w14:textId="77777777" w:rsidR="00784329" w:rsidRDefault="00784329" w:rsidP="005150FC"/>
        </w:tc>
        <w:tc>
          <w:tcPr>
            <w:tcW w:w="1249" w:type="pct"/>
            <w:vMerge w:val="restart"/>
            <w:hideMark/>
          </w:tcPr>
          <w:p w14:paraId="13785BAD" w14:textId="77777777" w:rsidR="00784329" w:rsidRDefault="00784329" w:rsidP="005150FC">
            <w:r>
              <w:t>Totaal bijdrage</w:t>
            </w:r>
          </w:p>
        </w:tc>
        <w:tc>
          <w:tcPr>
            <w:tcW w:w="2003" w:type="pct"/>
            <w:hideMark/>
          </w:tcPr>
          <w:p w14:paraId="0B61B71F" w14:textId="77777777" w:rsidR="00784329" w:rsidRDefault="00784329" w:rsidP="005150FC">
            <w:r>
              <w:t>1. Verenigde Staten</w:t>
            </w:r>
          </w:p>
        </w:tc>
        <w:tc>
          <w:tcPr>
            <w:tcW w:w="1257" w:type="pct"/>
          </w:tcPr>
          <w:p w14:paraId="3EBAC760" w14:textId="77777777" w:rsidR="00784329" w:rsidRDefault="00784329" w:rsidP="009C404F">
            <w:pPr>
              <w:tabs>
                <w:tab w:val="decimal" w:pos="1026"/>
              </w:tabs>
              <w:jc w:val="right"/>
            </w:pPr>
            <w:r>
              <w:t>837</w:t>
            </w:r>
          </w:p>
        </w:tc>
      </w:tr>
      <w:tr w:rsidR="00784329" w14:paraId="60EC6C37" w14:textId="77777777" w:rsidTr="00F77245">
        <w:tc>
          <w:tcPr>
            <w:tcW w:w="491" w:type="pct"/>
            <w:vMerge/>
          </w:tcPr>
          <w:p w14:paraId="1C781550" w14:textId="77777777" w:rsidR="00784329" w:rsidRDefault="00784329" w:rsidP="005150FC"/>
        </w:tc>
        <w:tc>
          <w:tcPr>
            <w:tcW w:w="1249" w:type="pct"/>
            <w:vMerge/>
          </w:tcPr>
          <w:p w14:paraId="45D654D6" w14:textId="77777777" w:rsidR="00784329" w:rsidRDefault="00784329" w:rsidP="005150FC"/>
        </w:tc>
        <w:tc>
          <w:tcPr>
            <w:tcW w:w="2003" w:type="pct"/>
            <w:hideMark/>
          </w:tcPr>
          <w:p w14:paraId="4A81671D" w14:textId="77777777" w:rsidR="00784329" w:rsidRDefault="00784329" w:rsidP="005150FC">
            <w:r>
              <w:t>2. Verenigd Koninkrijk</w:t>
            </w:r>
          </w:p>
        </w:tc>
        <w:tc>
          <w:tcPr>
            <w:tcW w:w="1257" w:type="pct"/>
          </w:tcPr>
          <w:p w14:paraId="615DA76A" w14:textId="77777777" w:rsidR="00784329" w:rsidRDefault="00784329" w:rsidP="009C404F">
            <w:pPr>
              <w:tabs>
                <w:tab w:val="decimal" w:pos="1026"/>
              </w:tabs>
              <w:jc w:val="right"/>
            </w:pPr>
            <w:r>
              <w:t>399</w:t>
            </w:r>
          </w:p>
        </w:tc>
      </w:tr>
      <w:tr w:rsidR="00784329" w14:paraId="6D91FB51" w14:textId="77777777" w:rsidTr="00F77245">
        <w:tc>
          <w:tcPr>
            <w:tcW w:w="491" w:type="pct"/>
            <w:vMerge/>
          </w:tcPr>
          <w:p w14:paraId="69006A98" w14:textId="77777777" w:rsidR="00784329" w:rsidRDefault="00784329" w:rsidP="005150FC"/>
        </w:tc>
        <w:tc>
          <w:tcPr>
            <w:tcW w:w="1249" w:type="pct"/>
            <w:vMerge/>
          </w:tcPr>
          <w:p w14:paraId="500649A5" w14:textId="77777777" w:rsidR="00784329" w:rsidRDefault="00784329" w:rsidP="005150FC"/>
        </w:tc>
        <w:tc>
          <w:tcPr>
            <w:tcW w:w="2003" w:type="pct"/>
            <w:hideMark/>
          </w:tcPr>
          <w:p w14:paraId="1C442585" w14:textId="77777777" w:rsidR="00784329" w:rsidRPr="008256DC" w:rsidRDefault="00784329" w:rsidP="005150FC">
            <w:pPr>
              <w:rPr>
                <w:b/>
              </w:rPr>
            </w:pPr>
            <w:r w:rsidRPr="008256DC">
              <w:rPr>
                <w:b/>
              </w:rPr>
              <w:t>10. Nederland</w:t>
            </w:r>
          </w:p>
        </w:tc>
        <w:tc>
          <w:tcPr>
            <w:tcW w:w="1257" w:type="pct"/>
          </w:tcPr>
          <w:p w14:paraId="7D602C57" w14:textId="77777777" w:rsidR="00784329" w:rsidRPr="008256DC" w:rsidRDefault="00784329" w:rsidP="009C404F">
            <w:pPr>
              <w:tabs>
                <w:tab w:val="decimal" w:pos="1026"/>
              </w:tabs>
              <w:jc w:val="right"/>
              <w:rPr>
                <w:b/>
              </w:rPr>
            </w:pPr>
            <w:r w:rsidRPr="008256DC">
              <w:rPr>
                <w:b/>
              </w:rPr>
              <w:t>58</w:t>
            </w:r>
          </w:p>
        </w:tc>
      </w:tr>
      <w:tr w:rsidR="00F77245" w:rsidRPr="009C404F" w14:paraId="36149ABF" w14:textId="77777777" w:rsidTr="00F77245">
        <w:tc>
          <w:tcPr>
            <w:tcW w:w="491" w:type="pct"/>
            <w:shd w:val="clear" w:color="auto" w:fill="D9D9D9"/>
          </w:tcPr>
          <w:p w14:paraId="6C3EB865" w14:textId="77777777" w:rsidR="00F77245" w:rsidRDefault="00F77245" w:rsidP="002935A1">
            <w:pPr>
              <w:ind w:right="-211"/>
            </w:pPr>
          </w:p>
        </w:tc>
        <w:tc>
          <w:tcPr>
            <w:tcW w:w="1249" w:type="pct"/>
            <w:shd w:val="clear" w:color="auto" w:fill="D9D9D9"/>
          </w:tcPr>
          <w:p w14:paraId="3D34D9ED" w14:textId="77777777" w:rsidR="00F77245" w:rsidRDefault="00F77245" w:rsidP="002935A1">
            <w:pPr>
              <w:ind w:right="-211"/>
            </w:pPr>
          </w:p>
        </w:tc>
        <w:tc>
          <w:tcPr>
            <w:tcW w:w="1999" w:type="pct"/>
            <w:shd w:val="clear" w:color="auto" w:fill="D9D9D9"/>
          </w:tcPr>
          <w:p w14:paraId="2F992DD8" w14:textId="77777777" w:rsidR="00F77245" w:rsidRDefault="00F77245" w:rsidP="002935A1">
            <w:pPr>
              <w:ind w:right="-211"/>
            </w:pPr>
          </w:p>
        </w:tc>
        <w:tc>
          <w:tcPr>
            <w:tcW w:w="1260" w:type="pct"/>
            <w:shd w:val="clear" w:color="auto" w:fill="D9D9D9"/>
          </w:tcPr>
          <w:p w14:paraId="22807BA8" w14:textId="77777777" w:rsidR="00F77245" w:rsidRPr="009C404F" w:rsidRDefault="00F77245" w:rsidP="002935A1">
            <w:pPr>
              <w:tabs>
                <w:tab w:val="decimal" w:pos="0"/>
              </w:tabs>
              <w:ind w:left="462" w:right="-211" w:hanging="462"/>
              <w:rPr>
                <w:u w:val="single"/>
              </w:rPr>
            </w:pPr>
            <w:r w:rsidRPr="00161DAE">
              <w:rPr>
                <w:b/>
                <w:i/>
              </w:rPr>
              <w:t>Voor 1 jaar</w:t>
            </w:r>
          </w:p>
        </w:tc>
      </w:tr>
      <w:tr w:rsidR="00F77245" w14:paraId="000F7C54" w14:textId="77777777" w:rsidTr="00F77245">
        <w:tc>
          <w:tcPr>
            <w:tcW w:w="491" w:type="pct"/>
            <w:vMerge w:val="restart"/>
            <w:hideMark/>
          </w:tcPr>
          <w:p w14:paraId="4F816C80" w14:textId="77777777" w:rsidR="00F77245" w:rsidRDefault="00F77245" w:rsidP="002935A1">
            <w:pPr>
              <w:ind w:right="-211"/>
            </w:pPr>
            <w:r>
              <w:t>2016</w:t>
            </w:r>
          </w:p>
        </w:tc>
        <w:tc>
          <w:tcPr>
            <w:tcW w:w="1249" w:type="pct"/>
            <w:vMerge w:val="restart"/>
            <w:hideMark/>
          </w:tcPr>
          <w:p w14:paraId="332C3F8B" w14:textId="77777777" w:rsidR="00F77245" w:rsidRDefault="00F77245" w:rsidP="002935A1">
            <w:pPr>
              <w:ind w:right="-211"/>
            </w:pPr>
            <w:proofErr w:type="spellStart"/>
            <w:r w:rsidRPr="00A13499">
              <w:rPr>
                <w:i/>
              </w:rPr>
              <w:t>Core</w:t>
            </w:r>
            <w:proofErr w:type="spellEnd"/>
            <w:r>
              <w:t>-bijdrage</w:t>
            </w:r>
          </w:p>
        </w:tc>
        <w:tc>
          <w:tcPr>
            <w:tcW w:w="1999" w:type="pct"/>
            <w:hideMark/>
          </w:tcPr>
          <w:p w14:paraId="438E978E" w14:textId="77777777" w:rsidR="00F77245" w:rsidRDefault="00F77245" w:rsidP="002935A1">
            <w:pPr>
              <w:ind w:right="-211"/>
            </w:pPr>
            <w:r>
              <w:t>1. Verenigde Staten</w:t>
            </w:r>
          </w:p>
        </w:tc>
        <w:tc>
          <w:tcPr>
            <w:tcW w:w="1260" w:type="pct"/>
          </w:tcPr>
          <w:p w14:paraId="5058F72E" w14:textId="77777777" w:rsidR="00F77245" w:rsidRDefault="00F77245" w:rsidP="002935A1">
            <w:pPr>
              <w:jc w:val="right"/>
            </w:pPr>
            <w:r>
              <w:t>114</w:t>
            </w:r>
          </w:p>
        </w:tc>
      </w:tr>
      <w:tr w:rsidR="00F77245" w14:paraId="6D2CCFF5" w14:textId="77777777" w:rsidTr="00F77245">
        <w:tc>
          <w:tcPr>
            <w:tcW w:w="491" w:type="pct"/>
            <w:vMerge/>
          </w:tcPr>
          <w:p w14:paraId="6D21431B" w14:textId="77777777" w:rsidR="00F77245" w:rsidRDefault="00F77245" w:rsidP="002935A1">
            <w:pPr>
              <w:ind w:right="-211"/>
            </w:pPr>
          </w:p>
        </w:tc>
        <w:tc>
          <w:tcPr>
            <w:tcW w:w="1249" w:type="pct"/>
            <w:vMerge/>
          </w:tcPr>
          <w:p w14:paraId="3018638A" w14:textId="77777777" w:rsidR="00F77245" w:rsidRDefault="00F77245" w:rsidP="002935A1">
            <w:pPr>
              <w:ind w:right="-211"/>
            </w:pPr>
          </w:p>
        </w:tc>
        <w:tc>
          <w:tcPr>
            <w:tcW w:w="1999" w:type="pct"/>
            <w:hideMark/>
          </w:tcPr>
          <w:p w14:paraId="32AF68A5" w14:textId="77777777" w:rsidR="00F77245" w:rsidRDefault="00F77245" w:rsidP="002935A1">
            <w:pPr>
              <w:ind w:right="-211"/>
            </w:pPr>
            <w:r>
              <w:t>2. Japan</w:t>
            </w:r>
          </w:p>
        </w:tc>
        <w:tc>
          <w:tcPr>
            <w:tcW w:w="1260" w:type="pct"/>
          </w:tcPr>
          <w:p w14:paraId="0E4E4EAC" w14:textId="77777777" w:rsidR="00F77245" w:rsidRDefault="00F77245" w:rsidP="002935A1">
            <w:pPr>
              <w:tabs>
                <w:tab w:val="decimal" w:pos="176"/>
              </w:tabs>
              <w:jc w:val="right"/>
            </w:pPr>
            <w:r>
              <w:t>50</w:t>
            </w:r>
          </w:p>
        </w:tc>
      </w:tr>
      <w:tr w:rsidR="00F77245" w:rsidRPr="008256DC" w14:paraId="1CA42E0C" w14:textId="77777777" w:rsidTr="00F77245">
        <w:tc>
          <w:tcPr>
            <w:tcW w:w="491" w:type="pct"/>
            <w:vMerge/>
          </w:tcPr>
          <w:p w14:paraId="6B32E209" w14:textId="77777777" w:rsidR="00F77245" w:rsidRDefault="00F77245" w:rsidP="002935A1">
            <w:pPr>
              <w:ind w:right="-211"/>
            </w:pPr>
          </w:p>
        </w:tc>
        <w:tc>
          <w:tcPr>
            <w:tcW w:w="1249" w:type="pct"/>
            <w:vMerge/>
          </w:tcPr>
          <w:p w14:paraId="1A16732D" w14:textId="77777777" w:rsidR="00F77245" w:rsidRDefault="00F77245" w:rsidP="002935A1">
            <w:pPr>
              <w:ind w:right="-211"/>
            </w:pPr>
          </w:p>
        </w:tc>
        <w:tc>
          <w:tcPr>
            <w:tcW w:w="1999" w:type="pct"/>
            <w:hideMark/>
          </w:tcPr>
          <w:p w14:paraId="6A4D3B38" w14:textId="77777777" w:rsidR="00F77245" w:rsidRPr="008256DC" w:rsidRDefault="00F77245" w:rsidP="002935A1">
            <w:pPr>
              <w:ind w:right="-211"/>
              <w:rPr>
                <w:b/>
              </w:rPr>
            </w:pPr>
            <w:r w:rsidRPr="008256DC">
              <w:rPr>
                <w:b/>
              </w:rPr>
              <w:t>15. Nederland</w:t>
            </w:r>
          </w:p>
        </w:tc>
        <w:tc>
          <w:tcPr>
            <w:tcW w:w="1260" w:type="pct"/>
          </w:tcPr>
          <w:p w14:paraId="2FE5C430" w14:textId="77777777" w:rsidR="00F77245" w:rsidRPr="008256DC" w:rsidRDefault="00F77245" w:rsidP="002935A1">
            <w:pPr>
              <w:jc w:val="right"/>
              <w:rPr>
                <w:b/>
              </w:rPr>
            </w:pPr>
            <w:r w:rsidRPr="008256DC">
              <w:rPr>
                <w:b/>
              </w:rPr>
              <w:t>8</w:t>
            </w:r>
          </w:p>
        </w:tc>
      </w:tr>
      <w:tr w:rsidR="00F77245" w14:paraId="7D449140" w14:textId="77777777" w:rsidTr="00F77245">
        <w:tc>
          <w:tcPr>
            <w:tcW w:w="491" w:type="pct"/>
            <w:vMerge/>
          </w:tcPr>
          <w:p w14:paraId="61873635" w14:textId="77777777" w:rsidR="00F77245" w:rsidRDefault="00F77245" w:rsidP="002935A1">
            <w:pPr>
              <w:ind w:right="-211"/>
            </w:pPr>
          </w:p>
        </w:tc>
        <w:tc>
          <w:tcPr>
            <w:tcW w:w="1249" w:type="pct"/>
            <w:vMerge w:val="restart"/>
            <w:hideMark/>
          </w:tcPr>
          <w:p w14:paraId="1B3783C5" w14:textId="77777777" w:rsidR="00F77245" w:rsidRDefault="00F77245" w:rsidP="002935A1">
            <w:pPr>
              <w:ind w:right="-211"/>
            </w:pPr>
            <w:r w:rsidRPr="00A13499">
              <w:rPr>
                <w:i/>
              </w:rPr>
              <w:t>Non-</w:t>
            </w:r>
            <w:proofErr w:type="spellStart"/>
            <w:r w:rsidRPr="00A13499">
              <w:rPr>
                <w:i/>
              </w:rPr>
              <w:t>core</w:t>
            </w:r>
            <w:proofErr w:type="spellEnd"/>
            <w:r>
              <w:t>-bijdragen</w:t>
            </w:r>
          </w:p>
        </w:tc>
        <w:tc>
          <w:tcPr>
            <w:tcW w:w="1999" w:type="pct"/>
            <w:hideMark/>
          </w:tcPr>
          <w:p w14:paraId="3BC6E15A" w14:textId="77777777" w:rsidR="00F77245" w:rsidRDefault="00F77245" w:rsidP="002935A1">
            <w:pPr>
              <w:ind w:right="-211"/>
            </w:pPr>
            <w:r>
              <w:t>1. Verenigde Staten</w:t>
            </w:r>
          </w:p>
        </w:tc>
        <w:tc>
          <w:tcPr>
            <w:tcW w:w="1260" w:type="pct"/>
          </w:tcPr>
          <w:p w14:paraId="57C009CB" w14:textId="77777777" w:rsidR="00F77245" w:rsidRDefault="00F77245" w:rsidP="002935A1">
            <w:pPr>
              <w:tabs>
                <w:tab w:val="decimal" w:pos="0"/>
              </w:tabs>
              <w:jc w:val="right"/>
            </w:pPr>
            <w:r>
              <w:t>324</w:t>
            </w:r>
          </w:p>
        </w:tc>
      </w:tr>
      <w:tr w:rsidR="00F77245" w14:paraId="2269BC7E" w14:textId="77777777" w:rsidTr="00F77245">
        <w:tc>
          <w:tcPr>
            <w:tcW w:w="491" w:type="pct"/>
            <w:vMerge/>
          </w:tcPr>
          <w:p w14:paraId="4A8542A7" w14:textId="77777777" w:rsidR="00F77245" w:rsidRDefault="00F77245" w:rsidP="002935A1">
            <w:pPr>
              <w:ind w:right="-211"/>
            </w:pPr>
          </w:p>
        </w:tc>
        <w:tc>
          <w:tcPr>
            <w:tcW w:w="1249" w:type="pct"/>
            <w:vMerge/>
          </w:tcPr>
          <w:p w14:paraId="755AEAFD" w14:textId="77777777" w:rsidR="00F77245" w:rsidRDefault="00F77245" w:rsidP="002935A1">
            <w:pPr>
              <w:ind w:right="-211"/>
            </w:pPr>
          </w:p>
        </w:tc>
        <w:tc>
          <w:tcPr>
            <w:tcW w:w="1999" w:type="pct"/>
            <w:hideMark/>
          </w:tcPr>
          <w:p w14:paraId="3BF5E273" w14:textId="77777777" w:rsidR="00F77245" w:rsidRDefault="00F77245" w:rsidP="002935A1">
            <w:pPr>
              <w:ind w:right="-211"/>
            </w:pPr>
            <w:r>
              <w:t>2. Verenigd Koninkrijk</w:t>
            </w:r>
          </w:p>
        </w:tc>
        <w:tc>
          <w:tcPr>
            <w:tcW w:w="1260" w:type="pct"/>
          </w:tcPr>
          <w:p w14:paraId="62FD170A" w14:textId="77777777" w:rsidR="00F77245" w:rsidRDefault="00F77245" w:rsidP="002935A1">
            <w:pPr>
              <w:tabs>
                <w:tab w:val="decimal" w:pos="0"/>
              </w:tabs>
              <w:jc w:val="right"/>
            </w:pPr>
            <w:r>
              <w:t>134</w:t>
            </w:r>
          </w:p>
        </w:tc>
      </w:tr>
      <w:tr w:rsidR="00F77245" w:rsidRPr="008256DC" w14:paraId="7FBFBBE1" w14:textId="77777777" w:rsidTr="00F77245">
        <w:tc>
          <w:tcPr>
            <w:tcW w:w="491" w:type="pct"/>
            <w:vMerge/>
          </w:tcPr>
          <w:p w14:paraId="4D70E9CA" w14:textId="77777777" w:rsidR="00F77245" w:rsidRDefault="00F77245" w:rsidP="002935A1">
            <w:pPr>
              <w:ind w:right="-211"/>
            </w:pPr>
          </w:p>
        </w:tc>
        <w:tc>
          <w:tcPr>
            <w:tcW w:w="1249" w:type="pct"/>
            <w:vMerge/>
          </w:tcPr>
          <w:p w14:paraId="7FC5D72D" w14:textId="77777777" w:rsidR="00F77245" w:rsidRDefault="00F77245" w:rsidP="002935A1">
            <w:pPr>
              <w:ind w:right="-211"/>
            </w:pPr>
          </w:p>
        </w:tc>
        <w:tc>
          <w:tcPr>
            <w:tcW w:w="1999" w:type="pct"/>
            <w:hideMark/>
          </w:tcPr>
          <w:p w14:paraId="63DCCFA8" w14:textId="77777777" w:rsidR="00F77245" w:rsidRPr="008256DC" w:rsidRDefault="00F77245" w:rsidP="002935A1">
            <w:pPr>
              <w:ind w:right="-211"/>
              <w:rPr>
                <w:b/>
              </w:rPr>
            </w:pPr>
            <w:r w:rsidRPr="008256DC">
              <w:rPr>
                <w:b/>
              </w:rPr>
              <w:t>9. Nederland</w:t>
            </w:r>
          </w:p>
        </w:tc>
        <w:tc>
          <w:tcPr>
            <w:tcW w:w="1260" w:type="pct"/>
          </w:tcPr>
          <w:p w14:paraId="2917590B" w14:textId="77777777" w:rsidR="00F77245" w:rsidRPr="008256DC" w:rsidRDefault="00F77245" w:rsidP="002935A1">
            <w:pPr>
              <w:tabs>
                <w:tab w:val="decimal" w:pos="0"/>
              </w:tabs>
              <w:jc w:val="right"/>
              <w:rPr>
                <w:b/>
              </w:rPr>
            </w:pPr>
            <w:r w:rsidRPr="008256DC">
              <w:rPr>
                <w:b/>
              </w:rPr>
              <w:t>23</w:t>
            </w:r>
          </w:p>
        </w:tc>
      </w:tr>
      <w:tr w:rsidR="00F77245" w14:paraId="4642D95F" w14:textId="77777777" w:rsidTr="00F77245">
        <w:tc>
          <w:tcPr>
            <w:tcW w:w="491" w:type="pct"/>
            <w:vMerge/>
          </w:tcPr>
          <w:p w14:paraId="7997B27A" w14:textId="77777777" w:rsidR="00F77245" w:rsidRDefault="00F77245" w:rsidP="002935A1">
            <w:pPr>
              <w:ind w:right="-211"/>
            </w:pPr>
          </w:p>
        </w:tc>
        <w:tc>
          <w:tcPr>
            <w:tcW w:w="1249" w:type="pct"/>
            <w:vMerge w:val="restart"/>
            <w:hideMark/>
          </w:tcPr>
          <w:p w14:paraId="4BA6E962" w14:textId="77777777" w:rsidR="00F77245" w:rsidRDefault="00F77245" w:rsidP="002935A1">
            <w:pPr>
              <w:ind w:right="-211"/>
            </w:pPr>
            <w:r>
              <w:t>Totaal bijdrage</w:t>
            </w:r>
          </w:p>
        </w:tc>
        <w:tc>
          <w:tcPr>
            <w:tcW w:w="1999" w:type="pct"/>
            <w:hideMark/>
          </w:tcPr>
          <w:p w14:paraId="5D542034" w14:textId="77777777" w:rsidR="00F77245" w:rsidRDefault="00F77245" w:rsidP="002935A1">
            <w:pPr>
              <w:ind w:right="-211"/>
            </w:pPr>
            <w:r>
              <w:t>1. Verenigde Staten</w:t>
            </w:r>
          </w:p>
        </w:tc>
        <w:tc>
          <w:tcPr>
            <w:tcW w:w="1260" w:type="pct"/>
          </w:tcPr>
          <w:p w14:paraId="7F644F4A" w14:textId="77777777" w:rsidR="00F77245" w:rsidRDefault="00F77245" w:rsidP="002935A1">
            <w:pPr>
              <w:jc w:val="right"/>
            </w:pPr>
            <w:r>
              <w:t>438</w:t>
            </w:r>
          </w:p>
        </w:tc>
      </w:tr>
      <w:tr w:rsidR="00F77245" w14:paraId="1EAB5BA8" w14:textId="77777777" w:rsidTr="00F77245">
        <w:tc>
          <w:tcPr>
            <w:tcW w:w="491" w:type="pct"/>
            <w:vMerge/>
          </w:tcPr>
          <w:p w14:paraId="0D99E55C" w14:textId="77777777" w:rsidR="00F77245" w:rsidRDefault="00F77245" w:rsidP="002935A1">
            <w:pPr>
              <w:ind w:right="-211"/>
            </w:pPr>
          </w:p>
        </w:tc>
        <w:tc>
          <w:tcPr>
            <w:tcW w:w="1249" w:type="pct"/>
            <w:vMerge/>
          </w:tcPr>
          <w:p w14:paraId="6400B7B6" w14:textId="77777777" w:rsidR="00F77245" w:rsidRDefault="00F77245" w:rsidP="002935A1">
            <w:pPr>
              <w:ind w:right="-211"/>
            </w:pPr>
          </w:p>
        </w:tc>
        <w:tc>
          <w:tcPr>
            <w:tcW w:w="1999" w:type="pct"/>
            <w:hideMark/>
          </w:tcPr>
          <w:p w14:paraId="0A94B14A" w14:textId="77777777" w:rsidR="00F77245" w:rsidRDefault="00F77245" w:rsidP="002935A1">
            <w:pPr>
              <w:ind w:right="-211"/>
            </w:pPr>
            <w:r>
              <w:t>2. Verenigd Koninkrijk</w:t>
            </w:r>
          </w:p>
        </w:tc>
        <w:tc>
          <w:tcPr>
            <w:tcW w:w="1260" w:type="pct"/>
          </w:tcPr>
          <w:p w14:paraId="05621424" w14:textId="77777777" w:rsidR="00F77245" w:rsidRDefault="00F77245" w:rsidP="002935A1">
            <w:pPr>
              <w:tabs>
                <w:tab w:val="decimal" w:pos="1026"/>
              </w:tabs>
              <w:jc w:val="right"/>
            </w:pPr>
            <w:r>
              <w:t>158</w:t>
            </w:r>
          </w:p>
        </w:tc>
      </w:tr>
      <w:tr w:rsidR="00F77245" w:rsidRPr="008256DC" w14:paraId="2BB1C997" w14:textId="77777777" w:rsidTr="00F77245">
        <w:tc>
          <w:tcPr>
            <w:tcW w:w="491" w:type="pct"/>
            <w:vMerge/>
          </w:tcPr>
          <w:p w14:paraId="2EE806D0" w14:textId="77777777" w:rsidR="00F77245" w:rsidRDefault="00F77245" w:rsidP="002935A1">
            <w:pPr>
              <w:ind w:right="-211"/>
            </w:pPr>
          </w:p>
        </w:tc>
        <w:tc>
          <w:tcPr>
            <w:tcW w:w="1249" w:type="pct"/>
            <w:vMerge/>
          </w:tcPr>
          <w:p w14:paraId="165A17AE" w14:textId="77777777" w:rsidR="00F77245" w:rsidRDefault="00F77245" w:rsidP="002935A1">
            <w:pPr>
              <w:ind w:right="-211"/>
            </w:pPr>
          </w:p>
        </w:tc>
        <w:tc>
          <w:tcPr>
            <w:tcW w:w="1999" w:type="pct"/>
            <w:hideMark/>
          </w:tcPr>
          <w:p w14:paraId="194B37F1" w14:textId="77777777" w:rsidR="00F77245" w:rsidRPr="008256DC" w:rsidRDefault="00F77245" w:rsidP="002935A1">
            <w:pPr>
              <w:ind w:right="-211"/>
              <w:rPr>
                <w:b/>
              </w:rPr>
            </w:pPr>
            <w:r w:rsidRPr="008256DC">
              <w:rPr>
                <w:b/>
              </w:rPr>
              <w:t>10. Nederland</w:t>
            </w:r>
          </w:p>
        </w:tc>
        <w:tc>
          <w:tcPr>
            <w:tcW w:w="1260" w:type="pct"/>
          </w:tcPr>
          <w:p w14:paraId="75ADE832" w14:textId="77777777" w:rsidR="00F77245" w:rsidRPr="008256DC" w:rsidRDefault="00F77245" w:rsidP="002935A1">
            <w:pPr>
              <w:tabs>
                <w:tab w:val="decimal" w:pos="1026"/>
              </w:tabs>
              <w:jc w:val="right"/>
              <w:rPr>
                <w:b/>
              </w:rPr>
            </w:pPr>
            <w:r w:rsidRPr="008256DC">
              <w:rPr>
                <w:b/>
              </w:rPr>
              <w:t>31</w:t>
            </w:r>
          </w:p>
        </w:tc>
      </w:tr>
    </w:tbl>
    <w:p w14:paraId="42290A62" w14:textId="0636BA43" w:rsidR="009811DF" w:rsidRDefault="00784329" w:rsidP="00784329">
      <w:pPr>
        <w:pStyle w:val="Heading1"/>
        <w:tabs>
          <w:tab w:val="num" w:pos="0"/>
        </w:tabs>
        <w:spacing w:after="240" w:line="240" w:lineRule="auto"/>
        <w:ind w:left="-1162"/>
      </w:pPr>
      <w:bookmarkStart w:id="33" w:name="_Toc491421101"/>
      <w:r>
        <w:lastRenderedPageBreak/>
        <w:t>4</w:t>
      </w:r>
      <w:r w:rsidR="00F24A31">
        <w:t xml:space="preserve"> </w:t>
      </w:r>
      <w:r w:rsidR="00F24A31">
        <w:tab/>
      </w:r>
      <w:r w:rsidR="006C1EB0">
        <w:t>Institutionele aspecten</w:t>
      </w:r>
      <w:r w:rsidR="00D745A7">
        <w:t xml:space="preserve"> </w:t>
      </w:r>
      <w:r w:rsidR="009B1466">
        <w:t xml:space="preserve">en functioneren </w:t>
      </w:r>
      <w:r w:rsidR="00D745A7">
        <w:t>van de organisatie</w:t>
      </w:r>
      <w:bookmarkEnd w:id="33"/>
    </w:p>
    <w:p w14:paraId="0D81591B" w14:textId="77777777" w:rsidR="00784329" w:rsidRPr="00784329" w:rsidRDefault="00784329" w:rsidP="00784329">
      <w:pPr>
        <w:pStyle w:val="ListParagraph"/>
        <w:keepNext/>
        <w:widowControl w:val="0"/>
        <w:numPr>
          <w:ilvl w:val="0"/>
          <w:numId w:val="20"/>
        </w:numPr>
        <w:tabs>
          <w:tab w:val="left" w:pos="-1162"/>
          <w:tab w:val="left" w:pos="0"/>
        </w:tabs>
        <w:spacing w:before="200" w:line="240" w:lineRule="auto"/>
        <w:outlineLvl w:val="1"/>
        <w:rPr>
          <w:rFonts w:cs="Arial"/>
          <w:b/>
          <w:iCs/>
          <w:vanish/>
          <w:kern w:val="32"/>
          <w:szCs w:val="28"/>
        </w:rPr>
      </w:pPr>
    </w:p>
    <w:p w14:paraId="6CF62440" w14:textId="77777777" w:rsidR="00784329" w:rsidRPr="00784329" w:rsidRDefault="00784329" w:rsidP="00784329">
      <w:pPr>
        <w:pStyle w:val="ListParagraph"/>
        <w:keepNext/>
        <w:widowControl w:val="0"/>
        <w:numPr>
          <w:ilvl w:val="0"/>
          <w:numId w:val="20"/>
        </w:numPr>
        <w:tabs>
          <w:tab w:val="left" w:pos="-1162"/>
          <w:tab w:val="left" w:pos="0"/>
        </w:tabs>
        <w:spacing w:before="200" w:line="240" w:lineRule="auto"/>
        <w:outlineLvl w:val="1"/>
        <w:rPr>
          <w:rFonts w:cs="Arial"/>
          <w:b/>
          <w:iCs/>
          <w:vanish/>
          <w:kern w:val="32"/>
          <w:szCs w:val="28"/>
        </w:rPr>
      </w:pPr>
    </w:p>
    <w:p w14:paraId="3B80370E" w14:textId="1E08E2F6" w:rsidR="00D745A7" w:rsidRPr="004D372F" w:rsidRDefault="00AE6CA2" w:rsidP="00784329">
      <w:pPr>
        <w:pStyle w:val="Heading2"/>
        <w:numPr>
          <w:ilvl w:val="1"/>
          <w:numId w:val="20"/>
        </w:numPr>
        <w:tabs>
          <w:tab w:val="left" w:pos="-1162"/>
          <w:tab w:val="left" w:pos="0"/>
        </w:tabs>
        <w:spacing w:line="240" w:lineRule="auto"/>
      </w:pPr>
      <w:r>
        <w:t xml:space="preserve"> </w:t>
      </w:r>
      <w:r w:rsidR="00F77245">
        <w:tab/>
      </w:r>
      <w:bookmarkStart w:id="34" w:name="_Toc491421102"/>
      <w:r w:rsidR="00743337">
        <w:t xml:space="preserve">Strategie en </w:t>
      </w:r>
      <w:r w:rsidR="002A310E">
        <w:t>verantwoording</w:t>
      </w:r>
      <w:bookmarkEnd w:id="34"/>
    </w:p>
    <w:p w14:paraId="107A32A7" w14:textId="3ABFB867" w:rsidR="008F4612" w:rsidRDefault="00EA531A" w:rsidP="008F4612">
      <w:r>
        <w:t xml:space="preserve">Binnen het brede gezondheidsmandaat van WHO </w:t>
      </w:r>
      <w:r w:rsidR="001F081A">
        <w:t xml:space="preserve">is </w:t>
      </w:r>
      <w:r>
        <w:t xml:space="preserve">het </w:t>
      </w:r>
      <w:r w:rsidR="001F081A">
        <w:t>belangrijk dat er duidelijke prioriteiten worden gesteld.</w:t>
      </w:r>
      <w:r w:rsidR="003C07BF" w:rsidRPr="003C07BF">
        <w:t xml:space="preserve"> </w:t>
      </w:r>
      <w:r w:rsidR="008F4612" w:rsidRPr="00EA3D94">
        <w:t>Het 12</w:t>
      </w:r>
      <w:r w:rsidR="008F4612" w:rsidRPr="00124905">
        <w:rPr>
          <w:vertAlign w:val="superscript"/>
        </w:rPr>
        <w:t>e</w:t>
      </w:r>
      <w:r w:rsidR="008F4612">
        <w:t xml:space="preserve"> </w:t>
      </w:r>
      <w:r w:rsidR="008F4612" w:rsidRPr="00EA3D94">
        <w:t>algemene werkplan 2014-</w:t>
      </w:r>
      <w:r w:rsidR="00166378">
        <w:t>20</w:t>
      </w:r>
      <w:r w:rsidR="008F4612" w:rsidRPr="00EA3D94">
        <w:t>19 beschrijft de strategische vi</w:t>
      </w:r>
      <w:r w:rsidR="00166378">
        <w:t>sie van de organisatie</w:t>
      </w:r>
      <w:r w:rsidR="008F4612">
        <w:t xml:space="preserve">. De WHO heeft </w:t>
      </w:r>
      <w:r w:rsidR="008F4612" w:rsidRPr="00EA3D94">
        <w:t xml:space="preserve">zes ‘leiderschapsprioriteiten’ </w:t>
      </w:r>
      <w:r w:rsidR="001F081A">
        <w:t>gekozen</w:t>
      </w:r>
      <w:r>
        <w:t>, wat inhoudt dat WHO een leidende rol speelt op</w:t>
      </w:r>
      <w:r w:rsidR="001F081A">
        <w:t>:</w:t>
      </w:r>
    </w:p>
    <w:p w14:paraId="3AF5EC3D" w14:textId="7EB2D568" w:rsidR="008F4612" w:rsidRDefault="00EA531A" w:rsidP="008F4612">
      <w:pPr>
        <w:numPr>
          <w:ilvl w:val="1"/>
          <w:numId w:val="11"/>
        </w:numPr>
      </w:pPr>
      <w:r>
        <w:t xml:space="preserve">het </w:t>
      </w:r>
      <w:r w:rsidR="008F4612" w:rsidRPr="00EA3D94">
        <w:t xml:space="preserve">bevorderen van </w:t>
      </w:r>
      <w:r w:rsidR="002821F9">
        <w:t>(toegankelijke en betaalbar</w:t>
      </w:r>
      <w:r w:rsidR="000A780B">
        <w:t>e) gezondheidszorg voor iedereen;</w:t>
      </w:r>
    </w:p>
    <w:p w14:paraId="0774A326" w14:textId="2025EE79" w:rsidR="008F4612" w:rsidRDefault="00EA531A" w:rsidP="008F4612">
      <w:pPr>
        <w:numPr>
          <w:ilvl w:val="1"/>
          <w:numId w:val="11"/>
        </w:numPr>
      </w:pPr>
      <w:r>
        <w:t xml:space="preserve">het behalen van de </w:t>
      </w:r>
      <w:r w:rsidR="008F4612">
        <w:t>g</w:t>
      </w:r>
      <w:r w:rsidR="008F4612" w:rsidRPr="00EA3D94">
        <w:t>ezondheid</w:t>
      </w:r>
      <w:r w:rsidR="008F4612">
        <w:t xml:space="preserve">-gerelateerde </w:t>
      </w:r>
      <w:r w:rsidR="002821F9">
        <w:t>M</w:t>
      </w:r>
      <w:r w:rsidR="008F4612">
        <w:t>illenniumdoelen</w:t>
      </w:r>
      <w:r w:rsidR="000A780B">
        <w:t xml:space="preserve"> </w:t>
      </w:r>
      <w:r w:rsidR="002821F9">
        <w:t xml:space="preserve">(nu: </w:t>
      </w:r>
      <w:proofErr w:type="spellStart"/>
      <w:r w:rsidR="00047536">
        <w:t>SDG</w:t>
      </w:r>
      <w:r w:rsidR="00546466">
        <w:t>’</w:t>
      </w:r>
      <w:r w:rsidR="00047536">
        <w:t>s</w:t>
      </w:r>
      <w:proofErr w:type="spellEnd"/>
      <w:r w:rsidR="002821F9">
        <w:t>)</w:t>
      </w:r>
      <w:r w:rsidR="008F4612">
        <w:t>;</w:t>
      </w:r>
    </w:p>
    <w:p w14:paraId="20A3AB1E" w14:textId="77777777" w:rsidR="008F4612" w:rsidRDefault="00EA531A" w:rsidP="008F4612">
      <w:pPr>
        <w:numPr>
          <w:ilvl w:val="1"/>
          <w:numId w:val="11"/>
        </w:numPr>
      </w:pPr>
      <w:r>
        <w:t xml:space="preserve">het bestrijden van </w:t>
      </w:r>
      <w:r w:rsidR="008F4612">
        <w:t>niet-besmettelijke ziekten;</w:t>
      </w:r>
    </w:p>
    <w:p w14:paraId="41E86E39" w14:textId="77777777" w:rsidR="008F4612" w:rsidRPr="009F4AEF" w:rsidRDefault="00EA531A" w:rsidP="008F4612">
      <w:pPr>
        <w:numPr>
          <w:ilvl w:val="1"/>
          <w:numId w:val="11"/>
        </w:numPr>
      </w:pPr>
      <w:r>
        <w:t xml:space="preserve">het </w:t>
      </w:r>
      <w:r w:rsidR="008F4612" w:rsidRPr="00A36DE0">
        <w:t>uitvoeren</w:t>
      </w:r>
      <w:r w:rsidR="008F4612" w:rsidRPr="009F4AEF">
        <w:t xml:space="preserve"> van de </w:t>
      </w:r>
      <w:r w:rsidR="008F4612" w:rsidRPr="009F4AEF">
        <w:rPr>
          <w:i/>
        </w:rPr>
        <w:t xml:space="preserve">International Health </w:t>
      </w:r>
      <w:proofErr w:type="spellStart"/>
      <w:r w:rsidR="008F4612" w:rsidRPr="009F4AEF">
        <w:rPr>
          <w:i/>
        </w:rPr>
        <w:t>Regulations</w:t>
      </w:r>
      <w:proofErr w:type="spellEnd"/>
      <w:r w:rsidR="008F4612" w:rsidRPr="009F4AEF">
        <w:t>;</w:t>
      </w:r>
    </w:p>
    <w:p w14:paraId="0CD94FC3" w14:textId="77777777" w:rsidR="008F4612" w:rsidRDefault="00EA531A" w:rsidP="008F4612">
      <w:pPr>
        <w:numPr>
          <w:ilvl w:val="1"/>
          <w:numId w:val="11"/>
        </w:numPr>
      </w:pPr>
      <w:r>
        <w:t xml:space="preserve">het vergroten van </w:t>
      </w:r>
      <w:r w:rsidR="008F4612" w:rsidRPr="00EA3D94">
        <w:t>toegan</w:t>
      </w:r>
      <w:r w:rsidR="008F4612">
        <w:t>g tot betaalbare geneesmiddelen;</w:t>
      </w:r>
    </w:p>
    <w:p w14:paraId="07D59128" w14:textId="2F3033AB" w:rsidR="008F4612" w:rsidRDefault="00EA531A" w:rsidP="008F4612">
      <w:pPr>
        <w:numPr>
          <w:ilvl w:val="1"/>
          <w:numId w:val="11"/>
        </w:numPr>
      </w:pPr>
      <w:r>
        <w:t xml:space="preserve">het werken aan </w:t>
      </w:r>
      <w:r w:rsidR="0054360E">
        <w:t xml:space="preserve">de </w:t>
      </w:r>
      <w:r w:rsidR="008F4612">
        <w:t xml:space="preserve">sociaaleconomische </w:t>
      </w:r>
      <w:r w:rsidR="00237419">
        <w:t>determinanten van (on)gezondheid</w:t>
      </w:r>
      <w:r w:rsidR="008F4612">
        <w:t>.</w:t>
      </w:r>
    </w:p>
    <w:p w14:paraId="272E708B" w14:textId="0AA42AA8" w:rsidR="00507E08" w:rsidRDefault="00EA531A" w:rsidP="008F4612">
      <w:r>
        <w:t>De</w:t>
      </w:r>
      <w:r w:rsidR="008F4612" w:rsidRPr="00EA3D94">
        <w:t xml:space="preserve"> coördinerende rol v</w:t>
      </w:r>
      <w:r>
        <w:t>an</w:t>
      </w:r>
      <w:r w:rsidR="008F4612" w:rsidRPr="00EA3D94">
        <w:t xml:space="preserve"> de WHO in internationaal gezondheidsbeleid</w:t>
      </w:r>
      <w:r w:rsidR="001F081A">
        <w:t xml:space="preserve"> en een effectief bestuur door lidstaten zelf</w:t>
      </w:r>
      <w:r>
        <w:t xml:space="preserve"> zijn hierbij belangrijke aandachtspunten</w:t>
      </w:r>
      <w:r w:rsidR="00E16017">
        <w:t xml:space="preserve">. In het werkplan 2014-2019 is </w:t>
      </w:r>
      <w:r w:rsidR="008F4612" w:rsidRPr="00EA3D94">
        <w:t>een resultatenraamwerk opgesteld</w:t>
      </w:r>
      <w:r w:rsidR="00851CB8">
        <w:t xml:space="preserve"> en wordt de </w:t>
      </w:r>
      <w:r w:rsidR="00EC476D">
        <w:t xml:space="preserve">onderliggende </w:t>
      </w:r>
      <w:proofErr w:type="spellStart"/>
      <w:r w:rsidR="00166378" w:rsidRPr="00546466">
        <w:rPr>
          <w:i/>
        </w:rPr>
        <w:t>Theory</w:t>
      </w:r>
      <w:proofErr w:type="spellEnd"/>
      <w:r w:rsidR="00166378" w:rsidRPr="00546466">
        <w:rPr>
          <w:i/>
        </w:rPr>
        <w:t xml:space="preserve"> of Change</w:t>
      </w:r>
      <w:r w:rsidR="00AC220F">
        <w:t xml:space="preserve"> </w:t>
      </w:r>
      <w:r>
        <w:t>(</w:t>
      </w:r>
      <w:proofErr w:type="spellStart"/>
      <w:r>
        <w:t>ToC</w:t>
      </w:r>
      <w:proofErr w:type="spellEnd"/>
      <w:r>
        <w:t xml:space="preserve">) </w:t>
      </w:r>
      <w:r w:rsidR="00AC220F">
        <w:t>uitgelegd</w:t>
      </w:r>
      <w:r w:rsidR="00166378">
        <w:t xml:space="preserve">. </w:t>
      </w:r>
      <w:r w:rsidR="00544552">
        <w:t>I</w:t>
      </w:r>
      <w:r w:rsidR="002A366D">
        <w:t>n</w:t>
      </w:r>
      <w:r w:rsidR="00544552">
        <w:t xml:space="preserve"> de </w:t>
      </w:r>
      <w:proofErr w:type="spellStart"/>
      <w:r w:rsidR="00544552">
        <w:t>T</w:t>
      </w:r>
      <w:r>
        <w:t>oC</w:t>
      </w:r>
      <w:proofErr w:type="spellEnd"/>
      <w:r w:rsidR="00544552">
        <w:t xml:space="preserve"> </w:t>
      </w:r>
      <w:r w:rsidR="00E873A5">
        <w:t xml:space="preserve">van de WHO wordt niet alleen gefocust op de directe resultaten, maar ook </w:t>
      </w:r>
      <w:r w:rsidR="00E16017">
        <w:t xml:space="preserve">op het normatieve karakter van de WHO en </w:t>
      </w:r>
      <w:r w:rsidR="00E873A5">
        <w:t xml:space="preserve">op de bijdrage die de WHO levert om landen in staat te stellen zelf resultaten te boeken in de toekomst. </w:t>
      </w:r>
      <w:r w:rsidR="001F081A">
        <w:t xml:space="preserve">Een </w:t>
      </w:r>
      <w:r w:rsidR="008F4612">
        <w:t>groot deel van</w:t>
      </w:r>
      <w:r w:rsidR="002821F9">
        <w:t xml:space="preserve"> de middelen</w:t>
      </w:r>
      <w:r w:rsidR="001F081A">
        <w:t xml:space="preserve"> </w:t>
      </w:r>
      <w:r w:rsidR="008F4612">
        <w:t>gaat naar</w:t>
      </w:r>
      <w:r w:rsidR="009B2203">
        <w:t xml:space="preserve"> werk in</w:t>
      </w:r>
      <w:r w:rsidR="008F4612">
        <w:t xml:space="preserve"> lagere inkomenslanden en lagere middeninkomenslanden.</w:t>
      </w:r>
      <w:r w:rsidR="006E1680">
        <w:t xml:space="preserve"> </w:t>
      </w:r>
    </w:p>
    <w:p w14:paraId="3BA04323" w14:textId="46635259" w:rsidR="008F4612" w:rsidRDefault="00507E08" w:rsidP="008F4612">
      <w:r>
        <w:t xml:space="preserve">De </w:t>
      </w:r>
      <w:r w:rsidR="006E1680">
        <w:t xml:space="preserve">WHO </w:t>
      </w:r>
      <w:r>
        <w:t xml:space="preserve">wordt geacht </w:t>
      </w:r>
      <w:r w:rsidR="006E1680">
        <w:t>een goede verantwoording af te leggen aan het beheersorgaan. Dit doet de WHO onder andere door bepaalde stukken al voor</w:t>
      </w:r>
      <w:r>
        <w:t>afgaand aan</w:t>
      </w:r>
      <w:r w:rsidR="006E1680">
        <w:t xml:space="preserve"> de </w:t>
      </w:r>
      <w:r w:rsidR="006E1680" w:rsidRPr="009F4AEF">
        <w:rPr>
          <w:i/>
        </w:rPr>
        <w:t>Executive Board</w:t>
      </w:r>
      <w:r w:rsidR="006E1680">
        <w:t xml:space="preserve"> voor te leggen aan het </w:t>
      </w:r>
      <w:r w:rsidR="00A476A8">
        <w:t xml:space="preserve">PBAC </w:t>
      </w:r>
      <w:r w:rsidR="006E1680">
        <w:t xml:space="preserve">van de </w:t>
      </w:r>
      <w:r w:rsidR="006E1680" w:rsidRPr="009F4AEF">
        <w:rPr>
          <w:i/>
        </w:rPr>
        <w:t>Executive Board</w:t>
      </w:r>
      <w:r w:rsidR="006E1680">
        <w:t>.</w:t>
      </w:r>
      <w:r w:rsidR="009B2203">
        <w:t xml:space="preserve"> </w:t>
      </w:r>
      <w:r>
        <w:t xml:space="preserve">De </w:t>
      </w:r>
      <w:r w:rsidR="009B2203">
        <w:t>WHO heeft de afgelopen per</w:t>
      </w:r>
      <w:r w:rsidR="00E16017">
        <w:t>iode goede stappen gezet om de benodigde</w:t>
      </w:r>
      <w:r w:rsidR="009B2203">
        <w:t xml:space="preserve"> informatie transparant e</w:t>
      </w:r>
      <w:r w:rsidR="002668D1">
        <w:t xml:space="preserve">n helder te communiceren via </w:t>
      </w:r>
      <w:r w:rsidR="00EA531A">
        <w:t>een</w:t>
      </w:r>
      <w:r w:rsidR="002668D1">
        <w:t xml:space="preserve"> nieuwe</w:t>
      </w:r>
      <w:r w:rsidR="009B2203">
        <w:t xml:space="preserve"> </w:t>
      </w:r>
      <w:proofErr w:type="spellStart"/>
      <w:r w:rsidR="009B2203">
        <w:t>webportal</w:t>
      </w:r>
      <w:proofErr w:type="spellEnd"/>
      <w:r w:rsidR="00EA531A">
        <w:rPr>
          <w:rStyle w:val="FootnoteReference"/>
        </w:rPr>
        <w:footnoteReference w:id="5"/>
      </w:r>
      <w:r w:rsidR="009B2203">
        <w:t xml:space="preserve">. </w:t>
      </w:r>
      <w:r w:rsidR="006E1680">
        <w:t xml:space="preserve">Ook is er in 2016 wederom een </w:t>
      </w:r>
      <w:proofErr w:type="spellStart"/>
      <w:r w:rsidR="006E1680" w:rsidRPr="008256DC">
        <w:rPr>
          <w:i/>
        </w:rPr>
        <w:t>Financi</w:t>
      </w:r>
      <w:r>
        <w:rPr>
          <w:i/>
        </w:rPr>
        <w:t>ng</w:t>
      </w:r>
      <w:proofErr w:type="spellEnd"/>
      <w:r w:rsidR="006E1680" w:rsidRPr="008256DC">
        <w:rPr>
          <w:i/>
        </w:rPr>
        <w:t xml:space="preserve"> </w:t>
      </w:r>
      <w:proofErr w:type="spellStart"/>
      <w:r w:rsidR="006E1680" w:rsidRPr="008256DC">
        <w:rPr>
          <w:i/>
        </w:rPr>
        <w:t>Dialogue</w:t>
      </w:r>
      <w:proofErr w:type="spellEnd"/>
      <w:r w:rsidR="006E1680">
        <w:t xml:space="preserve"> georganiseerd</w:t>
      </w:r>
      <w:r w:rsidR="00A476A8">
        <w:t xml:space="preserve"> om tijdig inzichtelijk te krijgen</w:t>
      </w:r>
      <w:r>
        <w:t xml:space="preserve"> of financiële vraag en aanbod op elkaar aansluiten.</w:t>
      </w:r>
      <w:r w:rsidR="00A476A8">
        <w:t xml:space="preserve"> </w:t>
      </w:r>
      <w:r w:rsidR="002821F9">
        <w:t>Naast lidstaten kunnen hieraan ook niet-statelijke donoren deelnemen</w:t>
      </w:r>
      <w:r w:rsidR="00E16017">
        <w:t>, waardoor ook aan hen verantwoording wordt afgelegd</w:t>
      </w:r>
      <w:r w:rsidR="002821F9">
        <w:t>.</w:t>
      </w:r>
      <w:r w:rsidR="00E16017">
        <w:t xml:space="preserve"> De WHO heeft regels </w:t>
      </w:r>
      <w:r w:rsidR="00EA531A">
        <w:t>opgesteld</w:t>
      </w:r>
      <w:r w:rsidR="00E16017">
        <w:t xml:space="preserve"> om oneigenlijke beïnvloeding tegen te gaan.</w:t>
      </w:r>
      <w:r w:rsidR="00A476A8">
        <w:t xml:space="preserve"> Verschillende VN organisaties hebben deze werkwijze overgenomen.</w:t>
      </w:r>
    </w:p>
    <w:p w14:paraId="0398B4CE" w14:textId="77777777" w:rsidR="00A33725" w:rsidRDefault="00A33725" w:rsidP="008F4612"/>
    <w:p w14:paraId="0E3C69DD" w14:textId="7D631099" w:rsidR="00166378" w:rsidRDefault="00A53278" w:rsidP="008F4612">
      <w:r>
        <w:t>De WHO</w:t>
      </w:r>
      <w:r w:rsidR="00394F4E">
        <w:t xml:space="preserve"> </w:t>
      </w:r>
      <w:r w:rsidR="005E3E63">
        <w:t>werkt zoveel mogelijk</w:t>
      </w:r>
      <w:r w:rsidR="00394F4E">
        <w:t xml:space="preserve"> </w:t>
      </w:r>
      <w:r w:rsidR="00862C7E">
        <w:t>in lijn met wat</w:t>
      </w:r>
      <w:r w:rsidR="00394F4E">
        <w:t xml:space="preserve"> de landen waarin zij werken aangeven nodig te hebben en</w:t>
      </w:r>
      <w:r w:rsidR="00A33725">
        <w:t xml:space="preserve"> zorgt er</w:t>
      </w:r>
      <w:r>
        <w:t xml:space="preserve">voor dat haar </w:t>
      </w:r>
      <w:r w:rsidRPr="009F4AEF">
        <w:rPr>
          <w:i/>
        </w:rPr>
        <w:t xml:space="preserve">Country Cooperation </w:t>
      </w:r>
      <w:proofErr w:type="spellStart"/>
      <w:r w:rsidRPr="009F4AEF">
        <w:rPr>
          <w:i/>
        </w:rPr>
        <w:t>Strateg</w:t>
      </w:r>
      <w:r w:rsidR="00EA531A">
        <w:rPr>
          <w:i/>
        </w:rPr>
        <w:t>y</w:t>
      </w:r>
      <w:proofErr w:type="spellEnd"/>
      <w:r>
        <w:t xml:space="preserve"> </w:t>
      </w:r>
      <w:r w:rsidR="005E3E63">
        <w:t>in lijn is met het U</w:t>
      </w:r>
      <w:r w:rsidR="00EA531A">
        <w:t>nited Nations Development Assistance Framework (U</w:t>
      </w:r>
      <w:r w:rsidR="005E3E63">
        <w:t>NDAF</w:t>
      </w:r>
      <w:r w:rsidR="00EA531A">
        <w:t>)</w:t>
      </w:r>
      <w:r w:rsidR="005E3E63">
        <w:t xml:space="preserve">. </w:t>
      </w:r>
      <w:r w:rsidR="00862C7E">
        <w:t xml:space="preserve">De </w:t>
      </w:r>
      <w:r w:rsidR="005E3E63">
        <w:t xml:space="preserve">WHO </w:t>
      </w:r>
      <w:r w:rsidR="00862C7E">
        <w:t xml:space="preserve">draagt </w:t>
      </w:r>
      <w:r>
        <w:t>zelf actief bij aan het vormgeven van het gezondheidsbeleid van UNDAF.</w:t>
      </w:r>
      <w:r w:rsidR="00AE47B4">
        <w:t xml:space="preserve"> </w:t>
      </w:r>
    </w:p>
    <w:p w14:paraId="3EB5F616" w14:textId="77777777" w:rsidR="009711D9" w:rsidRDefault="009711D9" w:rsidP="003266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9A513F" w14:paraId="218D9396" w14:textId="77777777" w:rsidTr="00F313B0">
        <w:tc>
          <w:tcPr>
            <w:tcW w:w="6912" w:type="dxa"/>
            <w:tcBorders>
              <w:top w:val="single" w:sz="12" w:space="0" w:color="auto"/>
              <w:left w:val="single" w:sz="12" w:space="0" w:color="auto"/>
              <w:bottom w:val="single" w:sz="12" w:space="0" w:color="auto"/>
            </w:tcBorders>
            <w:shd w:val="clear" w:color="auto" w:fill="D9D9D9"/>
          </w:tcPr>
          <w:p w14:paraId="65AE89AC" w14:textId="77777777" w:rsidR="009A513F" w:rsidRPr="00EA0AA8" w:rsidRDefault="009A513F" w:rsidP="00326699">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9D9D9"/>
          </w:tcPr>
          <w:p w14:paraId="73E489F6" w14:textId="77777777" w:rsidR="009A513F" w:rsidRPr="00EA0AA8" w:rsidRDefault="009A513F" w:rsidP="00326699">
            <w:pPr>
              <w:rPr>
                <w:b/>
              </w:rPr>
            </w:pPr>
            <w:r w:rsidRPr="00EA0AA8">
              <w:rPr>
                <w:b/>
              </w:rPr>
              <w:t>Score</w:t>
            </w:r>
          </w:p>
        </w:tc>
      </w:tr>
      <w:tr w:rsidR="009A513F" w14:paraId="55F139CA" w14:textId="77777777" w:rsidTr="00F313B0">
        <w:tc>
          <w:tcPr>
            <w:tcW w:w="6912" w:type="dxa"/>
            <w:tcBorders>
              <w:top w:val="single" w:sz="12" w:space="0" w:color="auto"/>
              <w:left w:val="single" w:sz="12" w:space="0" w:color="auto"/>
            </w:tcBorders>
            <w:shd w:val="clear" w:color="auto" w:fill="auto"/>
          </w:tcPr>
          <w:p w14:paraId="4F63A6A6" w14:textId="77777777" w:rsidR="009A513F" w:rsidRDefault="00DE2DA8" w:rsidP="00326699">
            <w:r>
              <w:t>Kernmandaat / Prioriteiten / Mission Creep</w:t>
            </w:r>
          </w:p>
        </w:tc>
        <w:tc>
          <w:tcPr>
            <w:tcW w:w="955" w:type="dxa"/>
            <w:tcBorders>
              <w:top w:val="single" w:sz="12" w:space="0" w:color="auto"/>
              <w:right w:val="single" w:sz="12" w:space="0" w:color="auto"/>
            </w:tcBorders>
            <w:shd w:val="clear" w:color="auto" w:fill="auto"/>
          </w:tcPr>
          <w:p w14:paraId="3CFD213F" w14:textId="77777777" w:rsidR="009A513F" w:rsidRDefault="009E075C" w:rsidP="00326699">
            <w:r>
              <w:t>4</w:t>
            </w:r>
          </w:p>
        </w:tc>
      </w:tr>
      <w:tr w:rsidR="009A513F" w14:paraId="74C8AC84" w14:textId="77777777" w:rsidTr="00F313B0">
        <w:tc>
          <w:tcPr>
            <w:tcW w:w="6912" w:type="dxa"/>
            <w:tcBorders>
              <w:left w:val="single" w:sz="12" w:space="0" w:color="auto"/>
            </w:tcBorders>
            <w:shd w:val="clear" w:color="auto" w:fill="auto"/>
          </w:tcPr>
          <w:p w14:paraId="2242D44D" w14:textId="77777777" w:rsidR="009A513F" w:rsidRDefault="00DE2DA8" w:rsidP="00326699">
            <w:r>
              <w:t>Beleidsstrategie</w:t>
            </w:r>
          </w:p>
        </w:tc>
        <w:tc>
          <w:tcPr>
            <w:tcW w:w="955" w:type="dxa"/>
            <w:tcBorders>
              <w:right w:val="single" w:sz="12" w:space="0" w:color="auto"/>
            </w:tcBorders>
            <w:shd w:val="clear" w:color="auto" w:fill="auto"/>
          </w:tcPr>
          <w:p w14:paraId="78D7403F" w14:textId="77777777" w:rsidR="009A513F" w:rsidRDefault="009E075C" w:rsidP="00326699">
            <w:r>
              <w:t>4</w:t>
            </w:r>
          </w:p>
        </w:tc>
      </w:tr>
      <w:tr w:rsidR="009A513F" w14:paraId="05C84056" w14:textId="77777777" w:rsidTr="00A13499">
        <w:tc>
          <w:tcPr>
            <w:tcW w:w="6912" w:type="dxa"/>
            <w:tcBorders>
              <w:left w:val="single" w:sz="12" w:space="0" w:color="auto"/>
              <w:bottom w:val="single" w:sz="4" w:space="0" w:color="auto"/>
            </w:tcBorders>
            <w:shd w:val="clear" w:color="auto" w:fill="auto"/>
          </w:tcPr>
          <w:p w14:paraId="518F3911" w14:textId="77777777" w:rsidR="009A513F" w:rsidRPr="00A33725" w:rsidRDefault="00DE2DA8" w:rsidP="00326699">
            <w:proofErr w:type="spellStart"/>
            <w:r w:rsidRPr="00A33725">
              <w:t>Theory</w:t>
            </w:r>
            <w:proofErr w:type="spellEnd"/>
            <w:r w:rsidRPr="00A33725">
              <w:t xml:space="preserve"> of Change</w:t>
            </w:r>
          </w:p>
        </w:tc>
        <w:tc>
          <w:tcPr>
            <w:tcW w:w="955" w:type="dxa"/>
            <w:tcBorders>
              <w:right w:val="single" w:sz="12" w:space="0" w:color="auto"/>
            </w:tcBorders>
            <w:shd w:val="clear" w:color="auto" w:fill="auto"/>
          </w:tcPr>
          <w:p w14:paraId="7E8D176A" w14:textId="77777777" w:rsidR="009A513F" w:rsidRDefault="00CC6476" w:rsidP="00326699">
            <w:r>
              <w:t>4</w:t>
            </w:r>
          </w:p>
        </w:tc>
      </w:tr>
      <w:tr w:rsidR="009A513F" w14:paraId="184A6B30" w14:textId="77777777" w:rsidTr="00A13499">
        <w:tc>
          <w:tcPr>
            <w:tcW w:w="6912" w:type="dxa"/>
            <w:tcBorders>
              <w:top w:val="single" w:sz="4" w:space="0" w:color="auto"/>
              <w:left w:val="single" w:sz="12" w:space="0" w:color="auto"/>
              <w:bottom w:val="single" w:sz="4" w:space="0" w:color="auto"/>
            </w:tcBorders>
            <w:shd w:val="clear" w:color="auto" w:fill="auto"/>
          </w:tcPr>
          <w:p w14:paraId="6E58DC69" w14:textId="77777777" w:rsidR="009A513F" w:rsidRDefault="00DE2DA8" w:rsidP="00326699">
            <w:r>
              <w:t>Aansluiting Nationaal beleid / Armoedestrategie</w:t>
            </w:r>
          </w:p>
        </w:tc>
        <w:tc>
          <w:tcPr>
            <w:tcW w:w="955" w:type="dxa"/>
            <w:tcBorders>
              <w:bottom w:val="single" w:sz="4" w:space="0" w:color="auto"/>
              <w:right w:val="single" w:sz="12" w:space="0" w:color="auto"/>
            </w:tcBorders>
            <w:shd w:val="clear" w:color="auto" w:fill="auto"/>
          </w:tcPr>
          <w:p w14:paraId="620C98AF" w14:textId="77777777" w:rsidR="009A513F" w:rsidRDefault="009E075C" w:rsidP="00326699">
            <w:r>
              <w:t>4</w:t>
            </w:r>
          </w:p>
        </w:tc>
      </w:tr>
      <w:tr w:rsidR="002A310E" w14:paraId="714E5AB7" w14:textId="77777777" w:rsidTr="00180CBA">
        <w:tc>
          <w:tcPr>
            <w:tcW w:w="6912" w:type="dxa"/>
            <w:tcBorders>
              <w:top w:val="single" w:sz="4" w:space="0" w:color="auto"/>
              <w:left w:val="single" w:sz="12" w:space="0" w:color="auto"/>
              <w:bottom w:val="single" w:sz="4" w:space="0" w:color="auto"/>
            </w:tcBorders>
            <w:shd w:val="clear" w:color="auto" w:fill="auto"/>
          </w:tcPr>
          <w:p w14:paraId="79FEBC58" w14:textId="77777777" w:rsidR="002A310E" w:rsidRDefault="005F3FB6" w:rsidP="00326699">
            <w:r>
              <w:t>Verantwoording</w:t>
            </w:r>
            <w:r w:rsidR="00BA3472">
              <w:t xml:space="preserve"> </w:t>
            </w:r>
          </w:p>
        </w:tc>
        <w:tc>
          <w:tcPr>
            <w:tcW w:w="955" w:type="dxa"/>
            <w:tcBorders>
              <w:bottom w:val="single" w:sz="4" w:space="0" w:color="auto"/>
              <w:right w:val="single" w:sz="12" w:space="0" w:color="auto"/>
            </w:tcBorders>
            <w:shd w:val="clear" w:color="auto" w:fill="auto"/>
          </w:tcPr>
          <w:p w14:paraId="3C8C66BE" w14:textId="77777777" w:rsidR="002A310E" w:rsidRDefault="008B403B" w:rsidP="00326699">
            <w:r>
              <w:t>3</w:t>
            </w:r>
          </w:p>
        </w:tc>
      </w:tr>
      <w:tr w:rsidR="00BA3472" w14:paraId="6C17174A" w14:textId="77777777" w:rsidTr="00AF7691">
        <w:tc>
          <w:tcPr>
            <w:tcW w:w="6912" w:type="dxa"/>
            <w:tcBorders>
              <w:top w:val="single" w:sz="4" w:space="0" w:color="auto"/>
              <w:left w:val="single" w:sz="12" w:space="0" w:color="auto"/>
              <w:bottom w:val="single" w:sz="12" w:space="0" w:color="auto"/>
            </w:tcBorders>
            <w:shd w:val="clear" w:color="auto" w:fill="auto"/>
          </w:tcPr>
          <w:p w14:paraId="65FB1A8F" w14:textId="77777777" w:rsidR="00BA3472" w:rsidRDefault="00BA3472" w:rsidP="003E0DD1">
            <w:r>
              <w:t xml:space="preserve">Aanspreekbaarheid </w:t>
            </w:r>
            <w:r w:rsidR="003E0DD1">
              <w:t>voor overige belanghebbenden</w:t>
            </w:r>
          </w:p>
        </w:tc>
        <w:tc>
          <w:tcPr>
            <w:tcW w:w="955" w:type="dxa"/>
            <w:tcBorders>
              <w:bottom w:val="single" w:sz="12" w:space="0" w:color="auto"/>
              <w:right w:val="single" w:sz="12" w:space="0" w:color="auto"/>
            </w:tcBorders>
            <w:shd w:val="clear" w:color="auto" w:fill="auto"/>
          </w:tcPr>
          <w:p w14:paraId="6D36D85B" w14:textId="77777777" w:rsidR="00BA3472" w:rsidRDefault="002821F9" w:rsidP="00326699">
            <w:r>
              <w:t>3</w:t>
            </w:r>
          </w:p>
        </w:tc>
      </w:tr>
      <w:tr w:rsidR="009A513F" w14:paraId="49E934D0" w14:textId="77777777" w:rsidTr="00B06CE6">
        <w:tc>
          <w:tcPr>
            <w:tcW w:w="6912" w:type="dxa"/>
            <w:tcBorders>
              <w:top w:val="single" w:sz="12" w:space="0" w:color="auto"/>
              <w:left w:val="single" w:sz="12" w:space="0" w:color="auto"/>
              <w:bottom w:val="single" w:sz="12" w:space="0" w:color="auto"/>
            </w:tcBorders>
            <w:shd w:val="clear" w:color="auto" w:fill="D0CECE"/>
          </w:tcPr>
          <w:p w14:paraId="4CE55204" w14:textId="77777777" w:rsidR="009A513F" w:rsidRPr="00EA0AA8" w:rsidRDefault="009A513F" w:rsidP="00326699">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14883F18" w14:textId="77777777" w:rsidR="009A513F" w:rsidRPr="00EA0AA8" w:rsidRDefault="002821F9" w:rsidP="00326699">
            <w:pPr>
              <w:rPr>
                <w:b/>
              </w:rPr>
            </w:pPr>
            <w:r>
              <w:rPr>
                <w:b/>
              </w:rPr>
              <w:t>4</w:t>
            </w:r>
          </w:p>
        </w:tc>
      </w:tr>
    </w:tbl>
    <w:p w14:paraId="129BF924" w14:textId="77777777" w:rsidR="008C7D5D" w:rsidRDefault="008C7D5D" w:rsidP="00326699"/>
    <w:p w14:paraId="04B18AEF" w14:textId="653389E6" w:rsidR="00CD5427" w:rsidRDefault="00326699" w:rsidP="00784329">
      <w:pPr>
        <w:ind w:firstLine="227"/>
      </w:pPr>
      <w:r w:rsidRPr="00193994">
        <w:t>Verandering</w:t>
      </w:r>
      <w:r w:rsidR="009A513F">
        <w:t xml:space="preserve"> sinds 2015</w:t>
      </w:r>
      <w:r>
        <w:t>: neutraal</w:t>
      </w:r>
      <w:r w:rsidRPr="00193994">
        <w:t xml:space="preserve"> = </w:t>
      </w:r>
      <w:r w:rsidRPr="00193994">
        <w:sym w:font="Wingdings" w:char="F0E8"/>
      </w:r>
    </w:p>
    <w:p w14:paraId="053E260F" w14:textId="77777777" w:rsidR="00784329" w:rsidRDefault="00784329" w:rsidP="00784329">
      <w:pPr>
        <w:ind w:firstLine="227"/>
      </w:pPr>
    </w:p>
    <w:p w14:paraId="2A2BB6C9" w14:textId="49072086" w:rsidR="00CD5427" w:rsidRPr="007230FA" w:rsidRDefault="00AE6CA2" w:rsidP="00ED4248">
      <w:pPr>
        <w:pStyle w:val="Heading2"/>
        <w:numPr>
          <w:ilvl w:val="1"/>
          <w:numId w:val="20"/>
        </w:numPr>
        <w:tabs>
          <w:tab w:val="left" w:pos="-1162"/>
          <w:tab w:val="left" w:pos="0"/>
        </w:tabs>
        <w:spacing w:line="240" w:lineRule="auto"/>
        <w:rPr>
          <w:lang w:val="en-US"/>
        </w:rPr>
      </w:pPr>
      <w:r>
        <w:rPr>
          <w:lang w:val="en-US"/>
        </w:rPr>
        <w:lastRenderedPageBreak/>
        <w:t xml:space="preserve"> </w:t>
      </w:r>
      <w:r w:rsidR="000A780B">
        <w:rPr>
          <w:lang w:val="en-US"/>
        </w:rPr>
        <w:tab/>
      </w:r>
      <w:bookmarkStart w:id="35" w:name="_Toc491421103"/>
      <w:proofErr w:type="spellStart"/>
      <w:r w:rsidR="00032C0E">
        <w:rPr>
          <w:lang w:val="en-US"/>
        </w:rPr>
        <w:t>Resultaatgerichtheid</w:t>
      </w:r>
      <w:proofErr w:type="spellEnd"/>
      <w:r w:rsidR="00032C0E">
        <w:rPr>
          <w:lang w:val="en-US"/>
        </w:rPr>
        <w:t xml:space="preserve"> </w:t>
      </w:r>
      <w:proofErr w:type="spellStart"/>
      <w:r w:rsidR="00032C0E">
        <w:rPr>
          <w:lang w:val="en-US"/>
        </w:rPr>
        <w:t>en</w:t>
      </w:r>
      <w:proofErr w:type="spellEnd"/>
      <w:r w:rsidR="00032C0E">
        <w:rPr>
          <w:lang w:val="en-US"/>
        </w:rPr>
        <w:t xml:space="preserve"> </w:t>
      </w:r>
      <w:proofErr w:type="spellStart"/>
      <w:r w:rsidR="00032C0E">
        <w:rPr>
          <w:lang w:val="en-US"/>
        </w:rPr>
        <w:t>transparantie</w:t>
      </w:r>
      <w:bookmarkEnd w:id="35"/>
      <w:proofErr w:type="spellEnd"/>
    </w:p>
    <w:p w14:paraId="04D6F848" w14:textId="15AC5AA4" w:rsidR="00920A27" w:rsidRDefault="00EA531A" w:rsidP="00CF3905">
      <w:r>
        <w:t>In h</w:t>
      </w:r>
      <w:r w:rsidR="00CF3905" w:rsidRPr="005B71EA">
        <w:t>et 12</w:t>
      </w:r>
      <w:r w:rsidR="00CF3905" w:rsidRPr="00124905">
        <w:rPr>
          <w:vertAlign w:val="superscript"/>
        </w:rPr>
        <w:t>e</w:t>
      </w:r>
      <w:r w:rsidR="00CF3905">
        <w:t xml:space="preserve"> </w:t>
      </w:r>
      <w:r w:rsidR="00CF3905" w:rsidRPr="005B71EA">
        <w:t>algemene werkplan 2014-</w:t>
      </w:r>
      <w:r w:rsidR="00CF3905">
        <w:t xml:space="preserve">2019 committeert de WHO </w:t>
      </w:r>
      <w:r>
        <w:t xml:space="preserve">zich aan het verbeteren van </w:t>
      </w:r>
      <w:proofErr w:type="spellStart"/>
      <w:r w:rsidR="00CF3905" w:rsidRPr="00BC5AE6">
        <w:rPr>
          <w:i/>
        </w:rPr>
        <w:t>results-based</w:t>
      </w:r>
      <w:proofErr w:type="spellEnd"/>
      <w:r w:rsidR="00CF3905" w:rsidRPr="00BC5AE6">
        <w:rPr>
          <w:i/>
        </w:rPr>
        <w:t xml:space="preserve"> planning</w:t>
      </w:r>
      <w:r w:rsidR="00CF3905" w:rsidRPr="005B71EA">
        <w:t xml:space="preserve"> </w:t>
      </w:r>
      <w:r w:rsidR="00CF3905">
        <w:t xml:space="preserve">en </w:t>
      </w:r>
      <w:r w:rsidR="00CF3905" w:rsidRPr="00BC5AE6">
        <w:rPr>
          <w:i/>
        </w:rPr>
        <w:t xml:space="preserve">performance </w:t>
      </w:r>
      <w:proofErr w:type="spellStart"/>
      <w:r w:rsidR="00CF3905" w:rsidRPr="00BC5AE6">
        <w:rPr>
          <w:i/>
        </w:rPr>
        <w:t>measurement</w:t>
      </w:r>
      <w:proofErr w:type="spellEnd"/>
      <w:r>
        <w:rPr>
          <w:i/>
        </w:rPr>
        <w:t>.</w:t>
      </w:r>
      <w:r w:rsidR="00CF3905">
        <w:t xml:space="preserve"> </w:t>
      </w:r>
      <w:r w:rsidR="00B21ADE">
        <w:t xml:space="preserve">Tijdens de hervormingen is op dit gebied </w:t>
      </w:r>
      <w:r w:rsidR="00C8545D">
        <w:t xml:space="preserve">al </w:t>
      </w:r>
      <w:r w:rsidR="00B21ADE">
        <w:t>veel werk verricht. De basis hiervan</w:t>
      </w:r>
      <w:r w:rsidR="00D82714">
        <w:t xml:space="preserve"> </w:t>
      </w:r>
      <w:r w:rsidR="00A66CB1">
        <w:t xml:space="preserve">is het resultatenraamwerk </w:t>
      </w:r>
      <w:r w:rsidR="00D82714">
        <w:t>waarin duidelijk staat uitgelegd voor welke resultaten de WHO verantwoordelijk is en hoe het behalen daarvan wordt gemeten.</w:t>
      </w:r>
      <w:r w:rsidR="001478D8">
        <w:t xml:space="preserve"> </w:t>
      </w:r>
      <w:r w:rsidR="00A66CB1">
        <w:t xml:space="preserve">In de </w:t>
      </w:r>
      <w:proofErr w:type="spellStart"/>
      <w:r w:rsidR="00A66CB1">
        <w:t>mid</w:t>
      </w:r>
      <w:proofErr w:type="spellEnd"/>
      <w:r w:rsidR="00A66CB1">
        <w:t xml:space="preserve">-term review en de </w:t>
      </w:r>
      <w:proofErr w:type="spellStart"/>
      <w:r w:rsidR="00A66CB1" w:rsidRPr="00C8545D">
        <w:rPr>
          <w:i/>
        </w:rPr>
        <w:t>Programme</w:t>
      </w:r>
      <w:proofErr w:type="spellEnd"/>
      <w:r w:rsidR="00A66CB1" w:rsidRPr="00C8545D">
        <w:rPr>
          <w:i/>
        </w:rPr>
        <w:t xml:space="preserve"> Budget Performance Assessment</w:t>
      </w:r>
      <w:r w:rsidR="00A66CB1">
        <w:t xml:space="preserve"> wordt uiteengezet in hoeverre de geplande resultaten zijn behaald.</w:t>
      </w:r>
      <w:r w:rsidR="00D0653E">
        <w:t xml:space="preserve"> Ook op </w:t>
      </w:r>
      <w:r>
        <w:t>de website</w:t>
      </w:r>
      <w:r w:rsidR="00D0653E">
        <w:t xml:space="preserve"> van de WHO wordt uiteengezet in hoeverre de gestelde doelen zijn behaald. </w:t>
      </w:r>
      <w:r>
        <w:t xml:space="preserve">Op de site </w:t>
      </w:r>
      <w:r w:rsidR="00D0653E">
        <w:t xml:space="preserve">communiceert de WHO over het systeem van </w:t>
      </w:r>
      <w:proofErr w:type="spellStart"/>
      <w:r w:rsidR="00D0653E" w:rsidRPr="00C8545D">
        <w:rPr>
          <w:i/>
        </w:rPr>
        <w:t>results-based</w:t>
      </w:r>
      <w:proofErr w:type="spellEnd"/>
      <w:r w:rsidR="00D0653E" w:rsidRPr="00C8545D">
        <w:rPr>
          <w:i/>
        </w:rPr>
        <w:t xml:space="preserve"> </w:t>
      </w:r>
      <w:proofErr w:type="spellStart"/>
      <w:r w:rsidR="00D0653E" w:rsidRPr="00C8545D">
        <w:rPr>
          <w:i/>
        </w:rPr>
        <w:t>budget</w:t>
      </w:r>
      <w:r>
        <w:rPr>
          <w:i/>
        </w:rPr>
        <w:t>ting</w:t>
      </w:r>
      <w:proofErr w:type="spellEnd"/>
      <w:r w:rsidR="00D0653E">
        <w:t xml:space="preserve"> dat is ingevoerd. Er wordt uiteengezet hoe groot het budget van de verscheidene programma’s is, in hoeverre de programma’s worden uitgevoerd en de doelen die met het programma worden nagestreefd. Ook voor het </w:t>
      </w:r>
      <w:r w:rsidR="00920A27">
        <w:t>nieuwe</w:t>
      </w:r>
      <w:r w:rsidR="00C8545D">
        <w:t xml:space="preserve"> Noodhulp</w:t>
      </w:r>
      <w:r w:rsidR="00920A27">
        <w:t xml:space="preserve"> Programma heeft de WHO een specifi</w:t>
      </w:r>
      <w:r w:rsidR="00D0653E">
        <w:t>ek</w:t>
      </w:r>
      <w:r w:rsidR="00C8545D">
        <w:t xml:space="preserve"> resultaten raamwerk</w:t>
      </w:r>
      <w:r w:rsidR="00D0653E">
        <w:t xml:space="preserve"> ontwikkeld.</w:t>
      </w:r>
    </w:p>
    <w:p w14:paraId="45FF8FB6" w14:textId="77777777" w:rsidR="00920A27" w:rsidRPr="001F6D5E" w:rsidRDefault="00920A27" w:rsidP="00CF3905"/>
    <w:p w14:paraId="783923BD" w14:textId="4ACFA6E5" w:rsidR="00DE7A2D" w:rsidRDefault="00D0653E" w:rsidP="00CF3905">
      <w:r>
        <w:t xml:space="preserve">De WHO </w:t>
      </w:r>
      <w:r w:rsidR="00EA531A">
        <w:t xml:space="preserve">wijst </w:t>
      </w:r>
      <w:r w:rsidR="00CF3905" w:rsidRPr="005B71EA">
        <w:t xml:space="preserve">middelen </w:t>
      </w:r>
      <w:r w:rsidR="00EA531A">
        <w:t xml:space="preserve">toe </w:t>
      </w:r>
      <w:r w:rsidR="00CF3905" w:rsidRPr="005B71EA">
        <w:t>aan de beleidsprioriteiten</w:t>
      </w:r>
      <w:r>
        <w:t xml:space="preserve">. </w:t>
      </w:r>
      <w:r w:rsidR="001B570A">
        <w:t xml:space="preserve">In de </w:t>
      </w:r>
      <w:r>
        <w:t xml:space="preserve">voorbereiding werkt de WHO </w:t>
      </w:r>
      <w:proofErr w:type="spellStart"/>
      <w:r w:rsidRPr="00546466">
        <w:rPr>
          <w:i/>
        </w:rPr>
        <w:t>botto</w:t>
      </w:r>
      <w:r w:rsidR="001B570A" w:rsidRPr="00546466">
        <w:rPr>
          <w:i/>
        </w:rPr>
        <w:t>m</w:t>
      </w:r>
      <w:proofErr w:type="spellEnd"/>
      <w:r w:rsidR="001B570A" w:rsidRPr="00546466">
        <w:rPr>
          <w:i/>
        </w:rPr>
        <w:t xml:space="preserve"> up</w:t>
      </w:r>
      <w:r w:rsidR="001B570A">
        <w:t xml:space="preserve"> (via landenkantoren en regiokantoren). Dit levert in de praktijk een matching probleem op, omdat lidstaten voorkeur geven aan financiering van andere prioriteiten</w:t>
      </w:r>
      <w:r w:rsidR="00EA531A">
        <w:t xml:space="preserve"> dan de prioriteiten die in de landen spelen</w:t>
      </w:r>
      <w:r w:rsidR="001B570A">
        <w:t xml:space="preserve">. Bijvoorbeeld: </w:t>
      </w:r>
      <w:r w:rsidR="00EA531A">
        <w:t xml:space="preserve">het bestrijden van </w:t>
      </w:r>
      <w:r w:rsidR="001B570A">
        <w:t xml:space="preserve">niet-overdraagbare ziekten staan altijd boven aan de lijst van prioriteiten, maar </w:t>
      </w:r>
      <w:r w:rsidR="00EA531A">
        <w:t>het is moeilijk hier financiering voor te vinden</w:t>
      </w:r>
      <w:r w:rsidR="001B570A">
        <w:t xml:space="preserve">. </w:t>
      </w:r>
      <w:r w:rsidR="00CF3905">
        <w:t xml:space="preserve">Daarnaast zorgen </w:t>
      </w:r>
      <w:r w:rsidR="00984A34">
        <w:rPr>
          <w:i/>
        </w:rPr>
        <w:t>non-</w:t>
      </w:r>
      <w:proofErr w:type="spellStart"/>
      <w:r w:rsidR="00984A34">
        <w:rPr>
          <w:i/>
        </w:rPr>
        <w:t>core</w:t>
      </w:r>
      <w:proofErr w:type="spellEnd"/>
      <w:r w:rsidR="00984A34">
        <w:rPr>
          <w:i/>
        </w:rPr>
        <w:t xml:space="preserve"> </w:t>
      </w:r>
      <w:r w:rsidR="00CF3905">
        <w:t>fondsen</w:t>
      </w:r>
      <w:r w:rsidR="00B86402">
        <w:t xml:space="preserve"> en opgelegde prioriteiten</w:t>
      </w:r>
      <w:r w:rsidR="00B86402">
        <w:rPr>
          <w:rStyle w:val="FootnoteReference"/>
        </w:rPr>
        <w:footnoteReference w:id="6"/>
      </w:r>
      <w:r w:rsidR="00CF3905">
        <w:t xml:space="preserve"> van publieke en private donoren ervoor dat de organisatie geen brede financiële basis heeft om autonoom te kunnen opereren. </w:t>
      </w:r>
    </w:p>
    <w:p w14:paraId="431CF5B5" w14:textId="5DA25D0F" w:rsidR="00CF3905" w:rsidRPr="005B71EA" w:rsidRDefault="00CF3905" w:rsidP="00CF3905">
      <w:r w:rsidRPr="005B71EA">
        <w:t>De WHO heeft z</w:t>
      </w:r>
      <w:r>
        <w:t>ich in 2016 gecommitteerd aan IATI</w:t>
      </w:r>
      <w:r w:rsidRPr="005B71EA">
        <w:t>.</w:t>
      </w:r>
    </w:p>
    <w:p w14:paraId="490AF7E5" w14:textId="77777777" w:rsidR="00E20A86" w:rsidRDefault="00E20A86" w:rsidP="00A134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E20A86" w:rsidRPr="00EA0AA8" w14:paraId="0BB79946" w14:textId="77777777" w:rsidTr="00B06CE6">
        <w:tc>
          <w:tcPr>
            <w:tcW w:w="6912" w:type="dxa"/>
            <w:tcBorders>
              <w:top w:val="single" w:sz="12" w:space="0" w:color="auto"/>
              <w:left w:val="single" w:sz="12" w:space="0" w:color="auto"/>
              <w:bottom w:val="single" w:sz="12" w:space="0" w:color="auto"/>
            </w:tcBorders>
            <w:shd w:val="clear" w:color="auto" w:fill="D0CECE"/>
          </w:tcPr>
          <w:p w14:paraId="44D4EF8C" w14:textId="77777777" w:rsidR="00E20A86" w:rsidRPr="00EA0AA8" w:rsidRDefault="00E20A86"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37F6A228" w14:textId="77777777" w:rsidR="00E20A86" w:rsidRPr="00EA0AA8" w:rsidRDefault="00E20A86" w:rsidP="00382AE3">
            <w:pPr>
              <w:rPr>
                <w:b/>
              </w:rPr>
            </w:pPr>
            <w:r w:rsidRPr="00EA0AA8">
              <w:rPr>
                <w:b/>
              </w:rPr>
              <w:t>Score</w:t>
            </w:r>
          </w:p>
        </w:tc>
      </w:tr>
      <w:tr w:rsidR="00E20A86" w14:paraId="3B8DFB88" w14:textId="77777777" w:rsidTr="00382AE3">
        <w:tc>
          <w:tcPr>
            <w:tcW w:w="6912" w:type="dxa"/>
            <w:tcBorders>
              <w:top w:val="single" w:sz="12" w:space="0" w:color="auto"/>
              <w:left w:val="single" w:sz="12" w:space="0" w:color="auto"/>
            </w:tcBorders>
            <w:shd w:val="clear" w:color="auto" w:fill="auto"/>
          </w:tcPr>
          <w:p w14:paraId="1D7FC383" w14:textId="77777777" w:rsidR="00E20A86" w:rsidRDefault="00E20A86" w:rsidP="00382AE3">
            <w:r>
              <w:t>RBM en RBB</w:t>
            </w:r>
          </w:p>
        </w:tc>
        <w:tc>
          <w:tcPr>
            <w:tcW w:w="955" w:type="dxa"/>
            <w:tcBorders>
              <w:top w:val="single" w:sz="12" w:space="0" w:color="auto"/>
              <w:right w:val="single" w:sz="12" w:space="0" w:color="auto"/>
            </w:tcBorders>
            <w:shd w:val="clear" w:color="auto" w:fill="auto"/>
          </w:tcPr>
          <w:p w14:paraId="497C2B17" w14:textId="77777777" w:rsidR="00E20A86" w:rsidRDefault="00B75E51" w:rsidP="00382AE3">
            <w:r>
              <w:t>3</w:t>
            </w:r>
          </w:p>
        </w:tc>
      </w:tr>
      <w:tr w:rsidR="00E20A86" w14:paraId="60E42FC7" w14:textId="77777777" w:rsidTr="00382AE3">
        <w:tc>
          <w:tcPr>
            <w:tcW w:w="6912" w:type="dxa"/>
            <w:tcBorders>
              <w:left w:val="single" w:sz="12" w:space="0" w:color="auto"/>
            </w:tcBorders>
            <w:shd w:val="clear" w:color="auto" w:fill="auto"/>
          </w:tcPr>
          <w:p w14:paraId="50F752A4" w14:textId="77777777" w:rsidR="00E20A86" w:rsidRDefault="00E20A86" w:rsidP="00382AE3">
            <w:r>
              <w:t>Inzichtelijk maken resultaten</w:t>
            </w:r>
          </w:p>
        </w:tc>
        <w:tc>
          <w:tcPr>
            <w:tcW w:w="955" w:type="dxa"/>
            <w:tcBorders>
              <w:right w:val="single" w:sz="12" w:space="0" w:color="auto"/>
            </w:tcBorders>
            <w:shd w:val="clear" w:color="auto" w:fill="auto"/>
          </w:tcPr>
          <w:p w14:paraId="3B2A4D4C" w14:textId="77777777" w:rsidR="00E20A86" w:rsidRDefault="00B75E51" w:rsidP="00382AE3">
            <w:r>
              <w:t>4</w:t>
            </w:r>
          </w:p>
        </w:tc>
      </w:tr>
      <w:tr w:rsidR="00E20A86" w14:paraId="246D41CD" w14:textId="77777777" w:rsidTr="00382AE3">
        <w:tc>
          <w:tcPr>
            <w:tcW w:w="6912" w:type="dxa"/>
            <w:tcBorders>
              <w:left w:val="single" w:sz="12" w:space="0" w:color="auto"/>
            </w:tcBorders>
            <w:shd w:val="clear" w:color="auto" w:fill="auto"/>
          </w:tcPr>
          <w:p w14:paraId="2D09D6F6" w14:textId="77777777" w:rsidR="00E20A86" w:rsidRDefault="00E20A86" w:rsidP="00382AE3">
            <w:r>
              <w:t>Inzichtelijk maken allocatie van middelen (o.a. IATI)</w:t>
            </w:r>
          </w:p>
        </w:tc>
        <w:tc>
          <w:tcPr>
            <w:tcW w:w="955" w:type="dxa"/>
            <w:tcBorders>
              <w:right w:val="single" w:sz="12" w:space="0" w:color="auto"/>
            </w:tcBorders>
            <w:shd w:val="clear" w:color="auto" w:fill="auto"/>
          </w:tcPr>
          <w:p w14:paraId="6D8863E5" w14:textId="77777777" w:rsidR="00E20A86" w:rsidRDefault="00B75E51" w:rsidP="00382AE3">
            <w:r>
              <w:t>4</w:t>
            </w:r>
          </w:p>
        </w:tc>
      </w:tr>
      <w:tr w:rsidR="00E20A86" w14:paraId="2028659F" w14:textId="77777777" w:rsidTr="00382AE3">
        <w:tc>
          <w:tcPr>
            <w:tcW w:w="6912" w:type="dxa"/>
            <w:tcBorders>
              <w:left w:val="single" w:sz="12" w:space="0" w:color="auto"/>
              <w:bottom w:val="single" w:sz="12" w:space="0" w:color="auto"/>
            </w:tcBorders>
            <w:shd w:val="clear" w:color="auto" w:fill="auto"/>
          </w:tcPr>
          <w:p w14:paraId="0E8227D2" w14:textId="77777777" w:rsidR="00E20A86" w:rsidRDefault="00E20A86" w:rsidP="00382AE3">
            <w:r>
              <w:t>Communicatie over resultaten</w:t>
            </w:r>
          </w:p>
        </w:tc>
        <w:tc>
          <w:tcPr>
            <w:tcW w:w="955" w:type="dxa"/>
            <w:tcBorders>
              <w:bottom w:val="single" w:sz="12" w:space="0" w:color="auto"/>
              <w:right w:val="single" w:sz="12" w:space="0" w:color="auto"/>
            </w:tcBorders>
            <w:shd w:val="clear" w:color="auto" w:fill="auto"/>
          </w:tcPr>
          <w:p w14:paraId="323E6EAB" w14:textId="77777777" w:rsidR="00E20A86" w:rsidRDefault="00B75E51" w:rsidP="00382AE3">
            <w:r>
              <w:t>3</w:t>
            </w:r>
          </w:p>
        </w:tc>
      </w:tr>
      <w:tr w:rsidR="00E20A86" w:rsidRPr="00EA0AA8" w14:paraId="170E5F6D" w14:textId="77777777" w:rsidTr="00B06CE6">
        <w:tc>
          <w:tcPr>
            <w:tcW w:w="6912" w:type="dxa"/>
            <w:tcBorders>
              <w:top w:val="single" w:sz="12" w:space="0" w:color="auto"/>
              <w:left w:val="single" w:sz="12" w:space="0" w:color="auto"/>
              <w:bottom w:val="single" w:sz="12" w:space="0" w:color="auto"/>
            </w:tcBorders>
            <w:shd w:val="clear" w:color="auto" w:fill="D0CECE"/>
          </w:tcPr>
          <w:p w14:paraId="48CF53E3" w14:textId="77777777" w:rsidR="00E20A86" w:rsidRPr="00EA0AA8" w:rsidRDefault="00E20A86"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54D1FE1C" w14:textId="77777777" w:rsidR="00E20A86" w:rsidRPr="00EA0AA8" w:rsidRDefault="00B75E51" w:rsidP="00382AE3">
            <w:pPr>
              <w:rPr>
                <w:b/>
              </w:rPr>
            </w:pPr>
            <w:r>
              <w:rPr>
                <w:b/>
              </w:rPr>
              <w:t>4</w:t>
            </w:r>
          </w:p>
        </w:tc>
      </w:tr>
    </w:tbl>
    <w:p w14:paraId="1D6F979D" w14:textId="77777777" w:rsidR="008C7D5D" w:rsidRDefault="008C7D5D" w:rsidP="00B54564"/>
    <w:p w14:paraId="5D1832A8" w14:textId="5FCCA964" w:rsidR="00E20A86" w:rsidRDefault="00687998" w:rsidP="00784329">
      <w:pPr>
        <w:ind w:firstLine="227"/>
      </w:pPr>
      <w:r w:rsidRPr="00193994">
        <w:t>Ver</w:t>
      </w:r>
      <w:r>
        <w:t>andering sinds 2015</w:t>
      </w:r>
      <w:r w:rsidR="003412ED">
        <w:t xml:space="preserve">: </w:t>
      </w:r>
      <w:r>
        <w:t>positief</w:t>
      </w:r>
      <w:r w:rsidRPr="00193994">
        <w:t xml:space="preserve"> </w:t>
      </w:r>
      <w:r w:rsidR="003412ED" w:rsidRPr="00193994">
        <w:t>=</w:t>
      </w:r>
      <w:r w:rsidR="00AE6CA2">
        <w:t xml:space="preserve"> </w:t>
      </w:r>
      <w:r w:rsidR="003412ED" w:rsidRPr="00193994">
        <w:sym w:font="Wingdings" w:char="F0E9"/>
      </w:r>
    </w:p>
    <w:p w14:paraId="6C319F11" w14:textId="77777777" w:rsidR="00784329" w:rsidRDefault="00784329" w:rsidP="00B54564">
      <w:pPr>
        <w:rPr>
          <w:b/>
        </w:rPr>
      </w:pPr>
    </w:p>
    <w:p w14:paraId="045C41F5" w14:textId="12F8C235" w:rsidR="00F366F4" w:rsidRPr="00F366F4" w:rsidRDefault="00AE6CA2" w:rsidP="00F366F4">
      <w:pPr>
        <w:pStyle w:val="Heading2"/>
        <w:numPr>
          <w:ilvl w:val="1"/>
          <w:numId w:val="20"/>
        </w:numPr>
        <w:tabs>
          <w:tab w:val="left" w:pos="-1162"/>
          <w:tab w:val="left" w:pos="0"/>
        </w:tabs>
        <w:spacing w:line="240" w:lineRule="auto"/>
        <w:rPr>
          <w:lang w:val="en-US"/>
        </w:rPr>
      </w:pPr>
      <w:r>
        <w:t xml:space="preserve"> </w:t>
      </w:r>
      <w:r w:rsidR="000A780B">
        <w:tab/>
      </w:r>
      <w:bookmarkStart w:id="36" w:name="_Toc491421104"/>
      <w:r w:rsidR="00F366F4" w:rsidRPr="00A13499">
        <w:t>Partnerschappen</w:t>
      </w:r>
      <w:r w:rsidR="00422948">
        <w:t xml:space="preserve"> en samenwerking</w:t>
      </w:r>
      <w:bookmarkEnd w:id="36"/>
    </w:p>
    <w:p w14:paraId="5A62DE09" w14:textId="1CD3C6C1" w:rsidR="001A42A2" w:rsidRDefault="00FB3115" w:rsidP="0031082B">
      <w:r>
        <w:t xml:space="preserve">De </w:t>
      </w:r>
      <w:r w:rsidR="00B11F51">
        <w:t>WHO</w:t>
      </w:r>
      <w:r w:rsidR="00047536">
        <w:t xml:space="preserve"> is actief </w:t>
      </w:r>
      <w:r>
        <w:t>binnen vele partnerschappen en samenwerkingsverbanden</w:t>
      </w:r>
      <w:r w:rsidR="00047536">
        <w:t xml:space="preserve"> op zowel strategisch als op landenniveau.</w:t>
      </w:r>
      <w:r w:rsidR="00B11F51">
        <w:t xml:space="preserve"> </w:t>
      </w:r>
      <w:r>
        <w:t xml:space="preserve">Bijvoorbeeld </w:t>
      </w:r>
      <w:r w:rsidR="00B11F51">
        <w:t>met</w:t>
      </w:r>
      <w:r>
        <w:t xml:space="preserve"> </w:t>
      </w:r>
      <w:r w:rsidR="00F17866">
        <w:t>UNFPA, UNICEF, UN</w:t>
      </w:r>
      <w:r w:rsidR="00EA531A">
        <w:t xml:space="preserve"> </w:t>
      </w:r>
      <w:proofErr w:type="spellStart"/>
      <w:r w:rsidR="00F17866">
        <w:t>Women</w:t>
      </w:r>
      <w:proofErr w:type="spellEnd"/>
      <w:r w:rsidR="00047536">
        <w:t>, FAO</w:t>
      </w:r>
      <w:r w:rsidR="00125E17">
        <w:t xml:space="preserve"> en de Wereldbank</w:t>
      </w:r>
      <w:r w:rsidR="00B11F51">
        <w:t xml:space="preserve"> op</w:t>
      </w:r>
      <w:r w:rsidR="001A42A2">
        <w:t xml:space="preserve"> onder andere </w:t>
      </w:r>
      <w:r w:rsidR="00B11F51">
        <w:t xml:space="preserve">het gebied van seksuele reproductieve gezondheid en rechten </w:t>
      </w:r>
      <w:r w:rsidR="00EA531A">
        <w:t>(SRGR)</w:t>
      </w:r>
      <w:r w:rsidR="00EA531A">
        <w:rPr>
          <w:rStyle w:val="FootnoteReference"/>
        </w:rPr>
        <w:footnoteReference w:id="7"/>
      </w:r>
      <w:r>
        <w:t>, op gebied van voedsel</w:t>
      </w:r>
      <w:r w:rsidR="00B10F21">
        <w:t>zekerheid en veiligheid in o</w:t>
      </w:r>
      <w:r w:rsidR="00EA531A">
        <w:t>nder andere</w:t>
      </w:r>
      <w:r w:rsidR="00B10F21">
        <w:t xml:space="preserve"> </w:t>
      </w:r>
      <w:r w:rsidR="00EA531A">
        <w:t>de</w:t>
      </w:r>
      <w:r>
        <w:t xml:space="preserve"> </w:t>
      </w:r>
      <w:r w:rsidRPr="00546466">
        <w:rPr>
          <w:i/>
        </w:rPr>
        <w:t xml:space="preserve">Health </w:t>
      </w:r>
      <w:proofErr w:type="spellStart"/>
      <w:r w:rsidRPr="00546466">
        <w:rPr>
          <w:i/>
        </w:rPr>
        <w:t>Nutrition</w:t>
      </w:r>
      <w:proofErr w:type="spellEnd"/>
      <w:r w:rsidRPr="00546466">
        <w:rPr>
          <w:i/>
        </w:rPr>
        <w:t xml:space="preserve"> Partner</w:t>
      </w:r>
      <w:r>
        <w:t xml:space="preserve"> (HNP) gr</w:t>
      </w:r>
      <w:r w:rsidR="00EA531A">
        <w:t>oe</w:t>
      </w:r>
      <w:r>
        <w:t xml:space="preserve">p </w:t>
      </w:r>
      <w:r w:rsidR="00B10F21">
        <w:t xml:space="preserve">en </w:t>
      </w:r>
      <w:r>
        <w:t xml:space="preserve">op </w:t>
      </w:r>
      <w:r w:rsidR="00EA531A">
        <w:t xml:space="preserve">het </w:t>
      </w:r>
      <w:r>
        <w:t xml:space="preserve">gebied van water en </w:t>
      </w:r>
      <w:proofErr w:type="spellStart"/>
      <w:r>
        <w:t>sanita</w:t>
      </w:r>
      <w:r w:rsidR="00B10F21">
        <w:t>t</w:t>
      </w:r>
      <w:r>
        <w:t>ie</w:t>
      </w:r>
      <w:proofErr w:type="spellEnd"/>
      <w:r>
        <w:t xml:space="preserve"> met </w:t>
      </w:r>
      <w:r w:rsidR="00687A2F">
        <w:t>o</w:t>
      </w:r>
      <w:r w:rsidR="00EA531A">
        <w:t>nder andere</w:t>
      </w:r>
      <w:r>
        <w:t xml:space="preserve"> UNICEF</w:t>
      </w:r>
      <w:r w:rsidR="00B10F21">
        <w:t xml:space="preserve">. Daarnaast </w:t>
      </w:r>
      <w:r w:rsidR="00237419">
        <w:t xml:space="preserve">is </w:t>
      </w:r>
      <w:r w:rsidR="00687A2F">
        <w:t>samenwerking met</w:t>
      </w:r>
      <w:r w:rsidR="00EA531A">
        <w:t xml:space="preserve"> bijvoorbeeld </w:t>
      </w:r>
      <w:r w:rsidR="00B11F51">
        <w:t>OCHA, UNDP en UNEP</w:t>
      </w:r>
      <w:r w:rsidR="00EA531A">
        <w:t xml:space="preserve"> en</w:t>
      </w:r>
      <w:r w:rsidR="00B11F51">
        <w:t xml:space="preserve"> verschillende publiek-private partnerschappen (Bill &amp; Melinda Gates Foundation, GAVI en GFATM) en </w:t>
      </w:r>
      <w:r w:rsidR="00EA531A">
        <w:t xml:space="preserve">met </w:t>
      </w:r>
      <w:r w:rsidR="00B11F51">
        <w:t xml:space="preserve">vele </w:t>
      </w:r>
      <w:proofErr w:type="spellStart"/>
      <w:r w:rsidR="00B11F51">
        <w:t>NGO</w:t>
      </w:r>
      <w:r w:rsidR="00546466">
        <w:t>’</w:t>
      </w:r>
      <w:r w:rsidR="00B11F51">
        <w:t>s</w:t>
      </w:r>
      <w:proofErr w:type="spellEnd"/>
      <w:r w:rsidR="00B11F51">
        <w:t xml:space="preserve">. </w:t>
      </w:r>
      <w:r w:rsidR="00B10F21">
        <w:t>M</w:t>
      </w:r>
      <w:r w:rsidR="00B11F51">
        <w:t xml:space="preserve">et de </w:t>
      </w:r>
      <w:r w:rsidR="001A42A2">
        <w:t>Wereld Bank</w:t>
      </w:r>
      <w:r w:rsidR="00B11F51">
        <w:t xml:space="preserve"> coördineert de WHO het International Health Part</w:t>
      </w:r>
      <w:r w:rsidR="00833880">
        <w:t>nership</w:t>
      </w:r>
      <w:r w:rsidR="001A42A2">
        <w:t>. D</w:t>
      </w:r>
      <w:r w:rsidR="00125E17">
        <w:t>e WHO is</w:t>
      </w:r>
      <w:r w:rsidR="001A42A2">
        <w:t xml:space="preserve"> ook</w:t>
      </w:r>
      <w:r w:rsidR="00125E17">
        <w:t xml:space="preserve"> een van de</w:t>
      </w:r>
      <w:r w:rsidR="003E3EFB">
        <w:t xml:space="preserve"> 11</w:t>
      </w:r>
      <w:r w:rsidR="00B11F51">
        <w:t xml:space="preserve"> cosponsors van UNAIDS.</w:t>
      </w:r>
      <w:r>
        <w:t xml:space="preserve"> </w:t>
      </w:r>
    </w:p>
    <w:p w14:paraId="1DECD630" w14:textId="77777777" w:rsidR="001A42A2" w:rsidRDefault="001A42A2" w:rsidP="0031082B"/>
    <w:p w14:paraId="21E1BDE4" w14:textId="533EDB94" w:rsidR="00396AAC" w:rsidRDefault="00FB3115" w:rsidP="0031082B">
      <w:r>
        <w:t>Gezien de vele in</w:t>
      </w:r>
      <w:r w:rsidR="001A42A2">
        <w:t>teracties maar ook uiteen lopen</w:t>
      </w:r>
      <w:r>
        <w:t xml:space="preserve">de belangen heeft de </w:t>
      </w:r>
      <w:r w:rsidR="00EA531A">
        <w:t>WHA</w:t>
      </w:r>
      <w:r w:rsidR="0031082B">
        <w:t xml:space="preserve"> na een moeizaam onderhandelingsproces tussen lidstat</w:t>
      </w:r>
      <w:r>
        <w:t xml:space="preserve">en in mei 2016 </w:t>
      </w:r>
      <w:r w:rsidR="0031082B">
        <w:t xml:space="preserve">het </w:t>
      </w:r>
      <w:r w:rsidR="0031082B" w:rsidRPr="007F008F">
        <w:rPr>
          <w:i/>
        </w:rPr>
        <w:t xml:space="preserve">Framework of Engagement </w:t>
      </w:r>
      <w:proofErr w:type="spellStart"/>
      <w:r w:rsidR="0031082B" w:rsidRPr="007F008F">
        <w:rPr>
          <w:i/>
        </w:rPr>
        <w:t>with</w:t>
      </w:r>
      <w:proofErr w:type="spellEnd"/>
      <w:r w:rsidR="0031082B" w:rsidRPr="007F008F">
        <w:rPr>
          <w:i/>
        </w:rPr>
        <w:t xml:space="preserve"> Non-State Actors</w:t>
      </w:r>
      <w:r w:rsidR="0031082B">
        <w:t xml:space="preserve"> (FENSA) aangenomen.</w:t>
      </w:r>
      <w:r w:rsidR="00396AAC">
        <w:t xml:space="preserve"> Hiermee zijn de regels over samenwerking helder geworden om zinvolle interactie met relevante niet-</w:t>
      </w:r>
      <w:r w:rsidR="00396AAC">
        <w:lastRenderedPageBreak/>
        <w:t xml:space="preserve">statelijke actoren te stimuleren. Anderzijds tracht het FENSA ook te voorkomen dat (bepaalde vormen van) interactie met niet-statelijke actoren de WHO compromitteert. De evaluatie in 2018 moet helder maken of het FENSA niet te restrictief is geworden. </w:t>
      </w:r>
    </w:p>
    <w:p w14:paraId="6C3E8E1F" w14:textId="77777777" w:rsidR="0031082B" w:rsidRDefault="0031082B" w:rsidP="00B11F51"/>
    <w:p w14:paraId="36DF213D" w14:textId="77777777" w:rsidR="00ED40FE" w:rsidRDefault="00ED40FE" w:rsidP="00ED40FE">
      <w:r>
        <w:t xml:space="preserve">Tijdens de Ebola uitbraak heeft de WHO te laat internationaal alarm geslagen. Recente uitbraken van </w:t>
      </w:r>
      <w:proofErr w:type="spellStart"/>
      <w:r>
        <w:t>Zika</w:t>
      </w:r>
      <w:proofErr w:type="spellEnd"/>
      <w:r>
        <w:t xml:space="preserve"> </w:t>
      </w:r>
      <w:r w:rsidR="00396AAC">
        <w:t xml:space="preserve">(2015-2016) </w:t>
      </w:r>
      <w:r>
        <w:t xml:space="preserve">en Gele Koorts </w:t>
      </w:r>
      <w:r w:rsidR="00396AAC">
        <w:t>(2017)</w:t>
      </w:r>
      <w:r w:rsidR="007B5E54">
        <w:t xml:space="preserve"> </w:t>
      </w:r>
      <w:r>
        <w:t xml:space="preserve">hebben laten zien dat het nieuwe </w:t>
      </w:r>
      <w:r w:rsidR="007B5E54">
        <w:t>noodhulpprogramma</w:t>
      </w:r>
      <w:r>
        <w:t xml:space="preserve"> een goede stap is geweest. Samenwerking met (humanitaire) partners verloopt nu beter. Tijdens noodhulp operaties is de WHO</w:t>
      </w:r>
      <w:r w:rsidR="00687A2F">
        <w:t xml:space="preserve"> het</w:t>
      </w:r>
      <w:r>
        <w:t xml:space="preserve"> hoofd van het </w:t>
      </w:r>
      <w:r w:rsidR="007B5E54">
        <w:rPr>
          <w:i/>
        </w:rPr>
        <w:t>G</w:t>
      </w:r>
      <w:r w:rsidRPr="00833880">
        <w:rPr>
          <w:i/>
        </w:rPr>
        <w:t xml:space="preserve">lobal </w:t>
      </w:r>
      <w:r w:rsidR="007B5E54">
        <w:rPr>
          <w:i/>
        </w:rPr>
        <w:t>H</w:t>
      </w:r>
      <w:r w:rsidR="007B5E54" w:rsidRPr="00833880">
        <w:rPr>
          <w:i/>
        </w:rPr>
        <w:t xml:space="preserve">ealth </w:t>
      </w:r>
      <w:r w:rsidR="007B5E54">
        <w:rPr>
          <w:i/>
        </w:rPr>
        <w:t>C</w:t>
      </w:r>
      <w:r w:rsidR="007B5E54" w:rsidRPr="00833880">
        <w:rPr>
          <w:i/>
        </w:rPr>
        <w:t>luster</w:t>
      </w:r>
      <w:r>
        <w:t xml:space="preserve">. Een </w:t>
      </w:r>
      <w:r w:rsidR="00EA531A">
        <w:t>goed</w:t>
      </w:r>
      <w:r>
        <w:t xml:space="preserve"> voorbeeld van </w:t>
      </w:r>
      <w:proofErr w:type="spellStart"/>
      <w:r>
        <w:t>WHO’s</w:t>
      </w:r>
      <w:proofErr w:type="spellEnd"/>
      <w:r>
        <w:t xml:space="preserve"> ‘</w:t>
      </w:r>
      <w:proofErr w:type="spellStart"/>
      <w:r w:rsidRPr="00ED40FE">
        <w:rPr>
          <w:i/>
        </w:rPr>
        <w:t>convening</w:t>
      </w:r>
      <w:proofErr w:type="spellEnd"/>
      <w:r w:rsidRPr="00ED40FE">
        <w:rPr>
          <w:i/>
        </w:rPr>
        <w:t xml:space="preserve"> power’</w:t>
      </w:r>
      <w:r w:rsidRPr="00B10F21">
        <w:rPr>
          <w:i/>
          <w:iCs/>
        </w:rPr>
        <w:t xml:space="preserve"> is de</w:t>
      </w:r>
      <w:r>
        <w:t xml:space="preserve"> samenwerking tussen WHO, </w:t>
      </w:r>
      <w:proofErr w:type="spellStart"/>
      <w:r>
        <w:t>NGO</w:t>
      </w:r>
      <w:r w:rsidR="00EA531A">
        <w:t>'</w:t>
      </w:r>
      <w:r>
        <w:t>s</w:t>
      </w:r>
      <w:proofErr w:type="spellEnd"/>
      <w:r>
        <w:t>, bedrijven en academi</w:t>
      </w:r>
      <w:r w:rsidR="00EA531A">
        <w:t xml:space="preserve">sche instituten </w:t>
      </w:r>
      <w:r>
        <w:t>voor het binnen een jaar ontwikkelen, testen en distribueren van een effectief Ebola vaccin.</w:t>
      </w:r>
    </w:p>
    <w:p w14:paraId="290B033E" w14:textId="77777777" w:rsidR="00ED40FE" w:rsidRDefault="00ED40FE" w:rsidP="00ED40FE"/>
    <w:p w14:paraId="26883273" w14:textId="61A17897" w:rsidR="00833880" w:rsidRDefault="00D2114F" w:rsidP="00363EB5">
      <w:r>
        <w:t>D</w:t>
      </w:r>
      <w:r w:rsidR="00B11F51">
        <w:t xml:space="preserve">e </w:t>
      </w:r>
      <w:r>
        <w:t xml:space="preserve">ervaringen </w:t>
      </w:r>
      <w:r w:rsidR="00B11F51">
        <w:t>van Nederlandse ambassades</w:t>
      </w:r>
      <w:r>
        <w:t xml:space="preserve"> is</w:t>
      </w:r>
      <w:r w:rsidR="00B11F51">
        <w:t xml:space="preserve"> dat de WHO over het algemeen als leider in de gezondheidssector goed en nauw samenwerkt met nationale overheden (voornamelijk ministerie</w:t>
      </w:r>
      <w:r w:rsidR="00C62D07">
        <w:t>s</w:t>
      </w:r>
      <w:r w:rsidR="00B11F51">
        <w:t xml:space="preserve"> van Gezondheid) </w:t>
      </w:r>
      <w:r w:rsidR="0025648A">
        <w:t>maar gezien de</w:t>
      </w:r>
      <w:r w:rsidR="005E5907">
        <w:t xml:space="preserve"> voorwaarde om met nationale overheden te werken kan dit in sommige landen de onafhankelijkheid van de WHO inperken. </w:t>
      </w:r>
      <w:r w:rsidR="471DF449">
        <w:t xml:space="preserve">De WHO overstijgt nog onvoldoende het </w:t>
      </w:r>
      <w:r w:rsidR="00ED40FE">
        <w:t>sectorniveau</w:t>
      </w:r>
      <w:r w:rsidR="471DF449">
        <w:t xml:space="preserve"> om technische assistentie te verlenen op het niveau van algemene nationale ontwikkelingsdoele</w:t>
      </w:r>
      <w:r w:rsidR="005E5907">
        <w:t>n</w:t>
      </w:r>
      <w:r w:rsidR="471DF449">
        <w:t xml:space="preserve"> </w:t>
      </w:r>
      <w:r w:rsidR="00EA531A">
        <w:t xml:space="preserve">en daarbij samen te werken met </w:t>
      </w:r>
      <w:r w:rsidR="00F107D7">
        <w:t xml:space="preserve">andere </w:t>
      </w:r>
      <w:r w:rsidR="471DF449">
        <w:t xml:space="preserve">ministeries </w:t>
      </w:r>
      <w:r w:rsidR="00FE3228">
        <w:t>zoals planning</w:t>
      </w:r>
      <w:r w:rsidR="471DF449">
        <w:t xml:space="preserve">, </w:t>
      </w:r>
      <w:r w:rsidR="00ED40FE">
        <w:t>financiën</w:t>
      </w:r>
      <w:r w:rsidR="471DF449">
        <w:t xml:space="preserve"> en dergelijke. </w:t>
      </w:r>
      <w:r w:rsidR="00350536">
        <w:t>De</w:t>
      </w:r>
      <w:r w:rsidR="00B11F51">
        <w:t xml:space="preserve"> werkverdeling met andere organisaties</w:t>
      </w:r>
      <w:r w:rsidR="00350536">
        <w:t xml:space="preserve"> is in de meeste landen goed</w:t>
      </w:r>
      <w:r w:rsidR="00B11F51">
        <w:t xml:space="preserve">. WHO </w:t>
      </w:r>
      <w:r w:rsidR="0061083A">
        <w:t xml:space="preserve">heeft </w:t>
      </w:r>
      <w:r w:rsidR="00B11F51">
        <w:t>een zuivere rol gericht op het ondersteunen van partne</w:t>
      </w:r>
      <w:r w:rsidR="00873AF9">
        <w:t xml:space="preserve">rs op </w:t>
      </w:r>
      <w:r w:rsidR="00B11F51">
        <w:t>technische vlak</w:t>
      </w:r>
      <w:r w:rsidR="00873AF9">
        <w:t>ken</w:t>
      </w:r>
      <w:r w:rsidR="00833880">
        <w:t>,</w:t>
      </w:r>
      <w:r w:rsidR="0061083A">
        <w:t xml:space="preserve"> aangezien de WHO vaak niet als donor fungeert</w:t>
      </w:r>
      <w:r w:rsidR="00B11F51">
        <w:t>.</w:t>
      </w:r>
    </w:p>
    <w:p w14:paraId="52041FD9" w14:textId="77777777" w:rsidR="008E22BC" w:rsidRPr="00ED2F32" w:rsidRDefault="008E22BC" w:rsidP="00BD7AE6">
      <w:pPr>
        <w:ind w:left="-454"/>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2A310E" w:rsidRPr="00EA0AA8" w14:paraId="22CB13B8" w14:textId="77777777" w:rsidTr="00B06CE6">
        <w:tc>
          <w:tcPr>
            <w:tcW w:w="6912" w:type="dxa"/>
            <w:tcBorders>
              <w:top w:val="single" w:sz="12" w:space="0" w:color="auto"/>
              <w:left w:val="single" w:sz="12" w:space="0" w:color="auto"/>
              <w:bottom w:val="single" w:sz="12" w:space="0" w:color="auto"/>
            </w:tcBorders>
            <w:shd w:val="clear" w:color="auto" w:fill="D0CECE"/>
          </w:tcPr>
          <w:p w14:paraId="034698E9" w14:textId="77777777" w:rsidR="002A310E" w:rsidRPr="00EA0AA8" w:rsidRDefault="002A310E"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4664C44A" w14:textId="77777777" w:rsidR="002A310E" w:rsidRPr="00EA0AA8" w:rsidRDefault="002A310E" w:rsidP="00382AE3">
            <w:pPr>
              <w:rPr>
                <w:b/>
              </w:rPr>
            </w:pPr>
            <w:r w:rsidRPr="00EA0AA8">
              <w:rPr>
                <w:b/>
              </w:rPr>
              <w:t>Score</w:t>
            </w:r>
          </w:p>
        </w:tc>
      </w:tr>
      <w:tr w:rsidR="002A310E" w14:paraId="7B16599E" w14:textId="77777777" w:rsidTr="00382AE3">
        <w:tc>
          <w:tcPr>
            <w:tcW w:w="6912" w:type="dxa"/>
            <w:tcBorders>
              <w:top w:val="single" w:sz="12" w:space="0" w:color="auto"/>
              <w:left w:val="single" w:sz="12" w:space="0" w:color="auto"/>
            </w:tcBorders>
            <w:shd w:val="clear" w:color="auto" w:fill="auto"/>
          </w:tcPr>
          <w:p w14:paraId="63C0333D" w14:textId="77777777" w:rsidR="002A310E" w:rsidRDefault="00CD7B6F" w:rsidP="00382AE3">
            <w:r>
              <w:t>Partnerschappen met andere organisaties</w:t>
            </w:r>
          </w:p>
        </w:tc>
        <w:tc>
          <w:tcPr>
            <w:tcW w:w="955" w:type="dxa"/>
            <w:tcBorders>
              <w:top w:val="single" w:sz="12" w:space="0" w:color="auto"/>
              <w:right w:val="single" w:sz="12" w:space="0" w:color="auto"/>
            </w:tcBorders>
            <w:shd w:val="clear" w:color="auto" w:fill="auto"/>
          </w:tcPr>
          <w:p w14:paraId="5F7A8A3E" w14:textId="77777777" w:rsidR="002A310E" w:rsidRDefault="00270B71" w:rsidP="00382AE3">
            <w:r>
              <w:t>4</w:t>
            </w:r>
          </w:p>
        </w:tc>
      </w:tr>
      <w:tr w:rsidR="002A310E" w14:paraId="4EDBA766" w14:textId="77777777" w:rsidTr="00382AE3">
        <w:tc>
          <w:tcPr>
            <w:tcW w:w="6912" w:type="dxa"/>
            <w:tcBorders>
              <w:left w:val="single" w:sz="12" w:space="0" w:color="auto"/>
            </w:tcBorders>
            <w:shd w:val="clear" w:color="auto" w:fill="auto"/>
          </w:tcPr>
          <w:p w14:paraId="2378EE39" w14:textId="77777777" w:rsidR="002A310E" w:rsidRDefault="00CD7B6F" w:rsidP="00382AE3">
            <w:r>
              <w:t>Visie en rol partnerschappen</w:t>
            </w:r>
          </w:p>
        </w:tc>
        <w:tc>
          <w:tcPr>
            <w:tcW w:w="955" w:type="dxa"/>
            <w:tcBorders>
              <w:right w:val="single" w:sz="12" w:space="0" w:color="auto"/>
            </w:tcBorders>
            <w:shd w:val="clear" w:color="auto" w:fill="auto"/>
          </w:tcPr>
          <w:p w14:paraId="7157C2DE" w14:textId="77777777" w:rsidR="002A310E" w:rsidRDefault="008B403B" w:rsidP="00382AE3">
            <w:r>
              <w:t>3</w:t>
            </w:r>
          </w:p>
        </w:tc>
      </w:tr>
      <w:tr w:rsidR="002A310E" w14:paraId="677F0A2C" w14:textId="77777777" w:rsidTr="00382AE3">
        <w:tc>
          <w:tcPr>
            <w:tcW w:w="6912" w:type="dxa"/>
            <w:tcBorders>
              <w:left w:val="single" w:sz="12" w:space="0" w:color="auto"/>
            </w:tcBorders>
            <w:shd w:val="clear" w:color="auto" w:fill="auto"/>
          </w:tcPr>
          <w:p w14:paraId="5BB1CB7F" w14:textId="41181BA1" w:rsidR="002A310E" w:rsidRDefault="00CD7B6F" w:rsidP="00C447C0">
            <w:r>
              <w:t>Aanslu</w:t>
            </w:r>
            <w:r w:rsidR="00C447C0">
              <w:t xml:space="preserve">iting partnerschappen met andere </w:t>
            </w:r>
            <w:r w:rsidR="00A33725">
              <w:t xml:space="preserve">multilaterale </w:t>
            </w:r>
            <w:r w:rsidR="00C447C0">
              <w:t>actoren</w:t>
            </w:r>
          </w:p>
        </w:tc>
        <w:tc>
          <w:tcPr>
            <w:tcW w:w="955" w:type="dxa"/>
            <w:tcBorders>
              <w:right w:val="single" w:sz="12" w:space="0" w:color="auto"/>
            </w:tcBorders>
            <w:shd w:val="clear" w:color="auto" w:fill="auto"/>
          </w:tcPr>
          <w:p w14:paraId="4ED8A000" w14:textId="77777777" w:rsidR="002A310E" w:rsidRDefault="00CC6476" w:rsidP="00382AE3">
            <w:r>
              <w:t>4</w:t>
            </w:r>
          </w:p>
        </w:tc>
      </w:tr>
      <w:tr w:rsidR="00422948" w14:paraId="5E096100" w14:textId="77777777" w:rsidTr="00382AE3">
        <w:tc>
          <w:tcPr>
            <w:tcW w:w="6912" w:type="dxa"/>
            <w:tcBorders>
              <w:left w:val="single" w:sz="12" w:space="0" w:color="auto"/>
            </w:tcBorders>
            <w:shd w:val="clear" w:color="auto" w:fill="auto"/>
          </w:tcPr>
          <w:p w14:paraId="0FB62296" w14:textId="77777777" w:rsidR="00422948" w:rsidRDefault="00072371" w:rsidP="00C447C0">
            <w:r>
              <w:t>Samenwerking en coördinatie overige actoren</w:t>
            </w:r>
          </w:p>
        </w:tc>
        <w:tc>
          <w:tcPr>
            <w:tcW w:w="955" w:type="dxa"/>
            <w:tcBorders>
              <w:right w:val="single" w:sz="12" w:space="0" w:color="auto"/>
            </w:tcBorders>
            <w:shd w:val="clear" w:color="auto" w:fill="auto"/>
          </w:tcPr>
          <w:p w14:paraId="59599DD9" w14:textId="77777777" w:rsidR="00422948" w:rsidRDefault="00270B71" w:rsidP="00382AE3">
            <w:r>
              <w:t>3</w:t>
            </w:r>
          </w:p>
        </w:tc>
      </w:tr>
      <w:tr w:rsidR="002A310E" w:rsidRPr="00EA0AA8" w14:paraId="6296BFE9" w14:textId="77777777" w:rsidTr="00B06CE6">
        <w:tc>
          <w:tcPr>
            <w:tcW w:w="6912" w:type="dxa"/>
            <w:tcBorders>
              <w:top w:val="single" w:sz="12" w:space="0" w:color="auto"/>
              <w:left w:val="single" w:sz="12" w:space="0" w:color="auto"/>
              <w:bottom w:val="single" w:sz="12" w:space="0" w:color="auto"/>
            </w:tcBorders>
            <w:shd w:val="clear" w:color="auto" w:fill="D0CECE"/>
          </w:tcPr>
          <w:p w14:paraId="28DB2EAB" w14:textId="77777777" w:rsidR="002A310E" w:rsidRPr="00EA0AA8" w:rsidRDefault="002A310E"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7B9A1EA6" w14:textId="77777777" w:rsidR="002A310E" w:rsidRPr="00EA0AA8" w:rsidRDefault="00CC6476" w:rsidP="00382AE3">
            <w:pPr>
              <w:rPr>
                <w:b/>
              </w:rPr>
            </w:pPr>
            <w:r>
              <w:rPr>
                <w:b/>
              </w:rPr>
              <w:t>4</w:t>
            </w:r>
          </w:p>
        </w:tc>
      </w:tr>
    </w:tbl>
    <w:p w14:paraId="4C4D465B" w14:textId="77777777" w:rsidR="008C7D5D" w:rsidRDefault="008C7D5D" w:rsidP="003412ED"/>
    <w:p w14:paraId="4B90DC70" w14:textId="599BE896" w:rsidR="00B54564" w:rsidRDefault="00687998" w:rsidP="00784329">
      <w:pPr>
        <w:ind w:firstLine="227"/>
      </w:pPr>
      <w:r w:rsidRPr="00193994">
        <w:t>Ver</w:t>
      </w:r>
      <w:r>
        <w:t>andering sinds 2015: positief</w:t>
      </w:r>
      <w:r w:rsidRPr="00193994">
        <w:t xml:space="preserve"> =</w:t>
      </w:r>
      <w:r w:rsidR="00AE6CA2">
        <w:t xml:space="preserve"> </w:t>
      </w:r>
      <w:r w:rsidRPr="00193994">
        <w:sym w:font="Wingdings" w:char="F0E9"/>
      </w:r>
    </w:p>
    <w:p w14:paraId="3986D87A" w14:textId="77777777" w:rsidR="00784329" w:rsidRPr="00363EB5" w:rsidRDefault="00784329" w:rsidP="003412ED">
      <w:pPr>
        <w:rPr>
          <w:b/>
        </w:rPr>
      </w:pPr>
    </w:p>
    <w:p w14:paraId="448CF490" w14:textId="17C04DA8" w:rsidR="00C9583F" w:rsidRDefault="00784329" w:rsidP="00784329">
      <w:pPr>
        <w:pStyle w:val="Heading2"/>
        <w:tabs>
          <w:tab w:val="left" w:pos="-1162"/>
          <w:tab w:val="left" w:pos="0"/>
          <w:tab w:val="num" w:pos="1160"/>
        </w:tabs>
        <w:spacing w:line="240" w:lineRule="auto"/>
        <w:ind w:hanging="1162"/>
      </w:pPr>
      <w:bookmarkStart w:id="37" w:name="_Toc410140903"/>
      <w:bookmarkStart w:id="38" w:name="_Toc491421105"/>
      <w:r>
        <w:t>4</w:t>
      </w:r>
      <w:r w:rsidR="004D372F" w:rsidRPr="004D372F">
        <w:t>.</w:t>
      </w:r>
      <w:r w:rsidR="00A74DEC">
        <w:t>4</w:t>
      </w:r>
      <w:r w:rsidR="004D372F" w:rsidRPr="004D372F">
        <w:t xml:space="preserve"> </w:t>
      </w:r>
      <w:r w:rsidR="0031751C">
        <w:tab/>
      </w:r>
      <w:r w:rsidR="00CD7B6F">
        <w:t>Operationeel management</w:t>
      </w:r>
      <w:bookmarkEnd w:id="37"/>
      <w:bookmarkEnd w:id="38"/>
      <w:r w:rsidR="00825E3D">
        <w:t xml:space="preserve"> </w:t>
      </w:r>
    </w:p>
    <w:p w14:paraId="37CB2711" w14:textId="26BC935A" w:rsidR="00152132" w:rsidRDefault="00202A7B" w:rsidP="007D11D7">
      <w:r>
        <w:t xml:space="preserve">Met een hoofdkantoor in Genève, zes regionale kantoren en meer dan 150 landenkantoren is de WHO een gedecentraliseerde organisatie. </w:t>
      </w:r>
      <w:r w:rsidR="004C6886">
        <w:t>Het hervormingsproces had ten doel om de rollen en functies op landen-, regio- en mondiaal niveau te verduidelijken. Desondanks bleek bij de Ebola uitbraak dat de organisatie in dit soort situaties</w:t>
      </w:r>
      <w:r w:rsidR="009F1B71">
        <w:t xml:space="preserve"> nog</w:t>
      </w:r>
      <w:r w:rsidR="004C6886">
        <w:t xml:space="preserve"> </w:t>
      </w:r>
      <w:r w:rsidR="00EA531A">
        <w:t xml:space="preserve">een aantal uitdagingen kent. </w:t>
      </w:r>
      <w:r w:rsidR="004C6886">
        <w:t xml:space="preserve">De DG had </w:t>
      </w:r>
      <w:r w:rsidR="00EA531A">
        <w:t xml:space="preserve">bijvoorbeeld </w:t>
      </w:r>
      <w:r w:rsidR="004C6886">
        <w:t xml:space="preserve">moeite om de regionale kantoren bij te sturen. </w:t>
      </w:r>
      <w:r w:rsidR="00B10F21">
        <w:t>Dit beeld wordt bevestigd in een evaluatie van de Nederlandse IOB.</w:t>
      </w:r>
      <w:r w:rsidR="00E35CB8">
        <w:t xml:space="preserve"> </w:t>
      </w:r>
      <w:r w:rsidR="004C6886">
        <w:t xml:space="preserve">Sinds de Ebola uitbraak </w:t>
      </w:r>
      <w:r w:rsidR="00EE3B01">
        <w:t xml:space="preserve">en </w:t>
      </w:r>
      <w:r w:rsidR="00EA531A">
        <w:t xml:space="preserve">de </w:t>
      </w:r>
      <w:r w:rsidR="00EE3B01">
        <w:t xml:space="preserve">oprichting van het </w:t>
      </w:r>
      <w:r w:rsidR="009F1B71">
        <w:t>noodhulpprogramma</w:t>
      </w:r>
      <w:r w:rsidR="004C6886">
        <w:t xml:space="preserve"> is </w:t>
      </w:r>
      <w:r w:rsidR="00AB3C76">
        <w:t>er mandaat gekomen voor een coördinerende rol in noodsituaties</w:t>
      </w:r>
      <w:r w:rsidR="004C6886">
        <w:t xml:space="preserve">. Het moet nog blijken wat de invloed zal zijn van </w:t>
      </w:r>
      <w:r w:rsidR="00346577">
        <w:t xml:space="preserve">deze verandering </w:t>
      </w:r>
      <w:r w:rsidR="004C6886">
        <w:t xml:space="preserve">op de slagkracht van de WHO </w:t>
      </w:r>
      <w:r w:rsidR="00AB3C76">
        <w:t xml:space="preserve">op de </w:t>
      </w:r>
      <w:r w:rsidR="00316245">
        <w:t>langere termijn</w:t>
      </w:r>
      <w:r w:rsidR="00EA531A">
        <w:t xml:space="preserve"> al </w:t>
      </w:r>
      <w:r w:rsidR="007F008F">
        <w:t xml:space="preserve">is bij </w:t>
      </w:r>
      <w:proofErr w:type="spellStart"/>
      <w:r w:rsidR="00316245">
        <w:t>Zika</w:t>
      </w:r>
      <w:proofErr w:type="spellEnd"/>
      <w:r w:rsidR="00316245">
        <w:t xml:space="preserve"> en Gele Koorts uitbraken gebleken dat de nieuwe werkwijze </w:t>
      </w:r>
      <w:r w:rsidR="00315F83">
        <w:t xml:space="preserve">beter </w:t>
      </w:r>
      <w:r w:rsidR="00316245">
        <w:t>uitpakt</w:t>
      </w:r>
      <w:r w:rsidR="004A5F9A">
        <w:t>.</w:t>
      </w:r>
      <w:r w:rsidR="00316245">
        <w:t xml:space="preserve"> </w:t>
      </w:r>
    </w:p>
    <w:p w14:paraId="52B3BAA3" w14:textId="509BB913" w:rsidR="007044D6" w:rsidRDefault="00316245" w:rsidP="007D11D7">
      <w:r>
        <w:t>Na de Ebola</w:t>
      </w:r>
      <w:r w:rsidR="00AB3C76">
        <w:t>-</w:t>
      </w:r>
      <w:r>
        <w:t xml:space="preserve">uitbraak heeft DG </w:t>
      </w:r>
      <w:proofErr w:type="spellStart"/>
      <w:r>
        <w:t>Chan</w:t>
      </w:r>
      <w:proofErr w:type="spellEnd"/>
      <w:r>
        <w:t xml:space="preserve"> de zogenaamde </w:t>
      </w:r>
      <w:r w:rsidRPr="007F008F">
        <w:rPr>
          <w:i/>
        </w:rPr>
        <w:t>Global Policy Group</w:t>
      </w:r>
      <w:r>
        <w:t xml:space="preserve"> ingesteld. In deze groep zitten de DG en alle regionale directeuren en het</w:t>
      </w:r>
      <w:r w:rsidR="00AB3C76">
        <w:t xml:space="preserve"> heeft als doel samenhang</w:t>
      </w:r>
      <w:r>
        <w:t xml:space="preserve"> en </w:t>
      </w:r>
      <w:r w:rsidR="00AB3C76">
        <w:t>afstemming van beleid</w:t>
      </w:r>
      <w:r>
        <w:t xml:space="preserve"> te bevorderen.</w:t>
      </w:r>
      <w:r w:rsidR="00C61207">
        <w:t xml:space="preserve"> Nederland steunt deze ontwikkeling en pleit om duidelijke afspraken met regionale directeuren te maken door zogenaamde “</w:t>
      </w:r>
      <w:r w:rsidR="00C61207" w:rsidRPr="00CD4556">
        <w:rPr>
          <w:i/>
        </w:rPr>
        <w:t>accountability compacts</w:t>
      </w:r>
      <w:r w:rsidR="00A33725">
        <w:t>”.</w:t>
      </w:r>
    </w:p>
    <w:p w14:paraId="0117F229" w14:textId="77777777" w:rsidR="00A33725" w:rsidRDefault="00A33725" w:rsidP="007D11D7"/>
    <w:p w14:paraId="484E4FD3" w14:textId="02F6883E" w:rsidR="00CA361C" w:rsidRDefault="00FC24FF" w:rsidP="007D11D7">
      <w:r>
        <w:lastRenderedPageBreak/>
        <w:t xml:space="preserve">Recentelijk heeft de WHO het functioneren op landenniveau laten evalueren. </w:t>
      </w:r>
      <w:r w:rsidR="00467D88">
        <w:t>Hieruit kwam onder meer naar voren dat</w:t>
      </w:r>
      <w:r w:rsidR="00152132">
        <w:t xml:space="preserve"> de</w:t>
      </w:r>
      <w:r w:rsidR="00CD4556">
        <w:t xml:space="preserve"> </w:t>
      </w:r>
      <w:r w:rsidR="004E7CE6">
        <w:t xml:space="preserve">rol </w:t>
      </w:r>
      <w:r w:rsidR="00152132">
        <w:t xml:space="preserve">van WHO </w:t>
      </w:r>
      <w:r w:rsidR="004E7CE6">
        <w:t xml:space="preserve">op landenniveau </w:t>
      </w:r>
      <w:r w:rsidR="00152132">
        <w:t xml:space="preserve">beter gedefinieerd moet worden in lijn met lokale context en </w:t>
      </w:r>
      <w:proofErr w:type="spellStart"/>
      <w:r w:rsidR="00152132">
        <w:t>WHO’s</w:t>
      </w:r>
      <w:proofErr w:type="spellEnd"/>
      <w:r w:rsidR="00152132">
        <w:t xml:space="preserve"> globale strategie om duidelijk van toegevoegde waarde te zijn.</w:t>
      </w:r>
      <w:r w:rsidR="00AE6CA2">
        <w:t xml:space="preserve"> </w:t>
      </w:r>
      <w:r w:rsidR="00467D88">
        <w:t>Daarnaast bleek dat</w:t>
      </w:r>
      <w:r w:rsidR="00152132">
        <w:t xml:space="preserve"> het aantonen van resul</w:t>
      </w:r>
      <w:r w:rsidR="0024038C">
        <w:t>t</w:t>
      </w:r>
      <w:r w:rsidR="00152132">
        <w:t xml:space="preserve">aten en de </w:t>
      </w:r>
      <w:r w:rsidR="00467D88">
        <w:t xml:space="preserve">monitoring en evaluatie op landenniveau </w:t>
      </w:r>
      <w:r w:rsidR="00152132">
        <w:t xml:space="preserve">beter kan. Ook </w:t>
      </w:r>
      <w:r w:rsidR="00B31186">
        <w:t xml:space="preserve">moet </w:t>
      </w:r>
      <w:r w:rsidR="00152132">
        <w:t xml:space="preserve">WHO </w:t>
      </w:r>
      <w:r w:rsidR="00B31186">
        <w:t>investeren in leiderschapscapaciteiten van lokale staf.</w:t>
      </w:r>
    </w:p>
    <w:p w14:paraId="46D55451" w14:textId="77777777" w:rsidR="00A33725" w:rsidRDefault="00A33725" w:rsidP="007D11D7"/>
    <w:p w14:paraId="197F029D" w14:textId="7EAD4720" w:rsidR="00FC24FF" w:rsidRDefault="00D71FE9" w:rsidP="007D11D7">
      <w:r>
        <w:t xml:space="preserve">De </w:t>
      </w:r>
      <w:r w:rsidR="00FC24FF">
        <w:t xml:space="preserve">aanbevelingen </w:t>
      </w:r>
      <w:r>
        <w:t xml:space="preserve">voortgekomen uit de evaluatie staan </w:t>
      </w:r>
      <w:r w:rsidR="000D5A0D">
        <w:t xml:space="preserve">nadrukkelijk op het netvlies van de </w:t>
      </w:r>
      <w:r w:rsidR="00AB3C76">
        <w:t>beheersorganen</w:t>
      </w:r>
      <w:r w:rsidR="000D5A0D">
        <w:t xml:space="preserve"> en het Secretariaat </w:t>
      </w:r>
      <w:r>
        <w:t xml:space="preserve">heeft hierop </w:t>
      </w:r>
      <w:r w:rsidR="000D5A0D">
        <w:t>concrete verbeteracties geformuleerd.</w:t>
      </w:r>
      <w:r w:rsidR="00AB3C76">
        <w:t xml:space="preserve"> </w:t>
      </w:r>
    </w:p>
    <w:p w14:paraId="3894048C" w14:textId="77777777" w:rsidR="000D5A0D" w:rsidRDefault="000D5A0D" w:rsidP="007D11D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2A310E" w:rsidRPr="00EA0AA8" w14:paraId="75DB658C" w14:textId="77777777" w:rsidTr="00AB3C76">
        <w:tc>
          <w:tcPr>
            <w:tcW w:w="6748" w:type="dxa"/>
            <w:tcBorders>
              <w:top w:val="single" w:sz="12" w:space="0" w:color="auto"/>
              <w:left w:val="single" w:sz="12" w:space="0" w:color="auto"/>
              <w:bottom w:val="single" w:sz="12" w:space="0" w:color="auto"/>
            </w:tcBorders>
            <w:shd w:val="clear" w:color="auto" w:fill="D0CECE"/>
          </w:tcPr>
          <w:p w14:paraId="217F3B97" w14:textId="77777777" w:rsidR="002A310E" w:rsidRPr="00EA0AA8" w:rsidRDefault="002A310E" w:rsidP="00382AE3">
            <w:pPr>
              <w:rPr>
                <w:b/>
              </w:rPr>
            </w:pPr>
            <w:r w:rsidRPr="00EA0AA8">
              <w:rPr>
                <w:b/>
              </w:rPr>
              <w:t>Onderdeel</w:t>
            </w:r>
          </w:p>
        </w:tc>
        <w:tc>
          <w:tcPr>
            <w:tcW w:w="949" w:type="dxa"/>
            <w:tcBorders>
              <w:top w:val="single" w:sz="12" w:space="0" w:color="auto"/>
              <w:bottom w:val="single" w:sz="12" w:space="0" w:color="auto"/>
              <w:right w:val="single" w:sz="12" w:space="0" w:color="auto"/>
            </w:tcBorders>
            <w:shd w:val="clear" w:color="auto" w:fill="D0CECE"/>
          </w:tcPr>
          <w:p w14:paraId="291DC355" w14:textId="77777777" w:rsidR="002A310E" w:rsidRPr="00EA0AA8" w:rsidRDefault="002A310E" w:rsidP="00382AE3">
            <w:pPr>
              <w:rPr>
                <w:b/>
              </w:rPr>
            </w:pPr>
            <w:r w:rsidRPr="00EA0AA8">
              <w:rPr>
                <w:b/>
              </w:rPr>
              <w:t>Score</w:t>
            </w:r>
          </w:p>
        </w:tc>
      </w:tr>
      <w:tr w:rsidR="002A310E" w14:paraId="385ADA0A" w14:textId="77777777" w:rsidTr="00AB3C76">
        <w:tc>
          <w:tcPr>
            <w:tcW w:w="6748" w:type="dxa"/>
            <w:tcBorders>
              <w:top w:val="single" w:sz="12" w:space="0" w:color="auto"/>
              <w:left w:val="single" w:sz="12" w:space="0" w:color="auto"/>
            </w:tcBorders>
            <w:shd w:val="clear" w:color="auto" w:fill="auto"/>
          </w:tcPr>
          <w:p w14:paraId="7CD3AB9C" w14:textId="77777777" w:rsidR="002A310E" w:rsidRDefault="008A646F" w:rsidP="00382AE3">
            <w:r>
              <w:t>Delegatie van bevoegdheden</w:t>
            </w:r>
          </w:p>
        </w:tc>
        <w:tc>
          <w:tcPr>
            <w:tcW w:w="949" w:type="dxa"/>
            <w:tcBorders>
              <w:top w:val="single" w:sz="12" w:space="0" w:color="auto"/>
              <w:right w:val="single" w:sz="12" w:space="0" w:color="auto"/>
            </w:tcBorders>
            <w:shd w:val="clear" w:color="auto" w:fill="auto"/>
          </w:tcPr>
          <w:p w14:paraId="5F6B7455" w14:textId="77777777" w:rsidR="002A310E" w:rsidRDefault="008C31C6" w:rsidP="00382AE3">
            <w:r>
              <w:t>2</w:t>
            </w:r>
          </w:p>
        </w:tc>
      </w:tr>
      <w:tr w:rsidR="002A310E" w14:paraId="3A1595F3" w14:textId="77777777" w:rsidTr="00AB3C76">
        <w:tc>
          <w:tcPr>
            <w:tcW w:w="6748" w:type="dxa"/>
            <w:tcBorders>
              <w:left w:val="single" w:sz="12" w:space="0" w:color="auto"/>
            </w:tcBorders>
            <w:shd w:val="clear" w:color="auto" w:fill="auto"/>
          </w:tcPr>
          <w:p w14:paraId="106B8076" w14:textId="77777777" w:rsidR="002A310E" w:rsidRDefault="008A646F" w:rsidP="00382AE3">
            <w:r>
              <w:t>Projectbeheer en financieel beheer</w:t>
            </w:r>
          </w:p>
        </w:tc>
        <w:tc>
          <w:tcPr>
            <w:tcW w:w="949" w:type="dxa"/>
            <w:tcBorders>
              <w:right w:val="single" w:sz="12" w:space="0" w:color="auto"/>
            </w:tcBorders>
            <w:shd w:val="clear" w:color="auto" w:fill="auto"/>
          </w:tcPr>
          <w:p w14:paraId="072BE5A5" w14:textId="77777777" w:rsidR="002A310E" w:rsidRDefault="008C31C6" w:rsidP="00382AE3">
            <w:r>
              <w:t>2</w:t>
            </w:r>
          </w:p>
        </w:tc>
      </w:tr>
      <w:tr w:rsidR="002A310E" w14:paraId="7DDE84C6" w14:textId="77777777" w:rsidTr="00AB3C76">
        <w:tc>
          <w:tcPr>
            <w:tcW w:w="6748" w:type="dxa"/>
            <w:tcBorders>
              <w:left w:val="single" w:sz="12" w:space="0" w:color="auto"/>
            </w:tcBorders>
            <w:shd w:val="clear" w:color="auto" w:fill="auto"/>
          </w:tcPr>
          <w:p w14:paraId="69266F28" w14:textId="77777777" w:rsidR="002A310E" w:rsidRDefault="008A646F" w:rsidP="00382AE3">
            <w:r>
              <w:t>Verantwoordelijkheden en bevoegdheden decentrale kantoren</w:t>
            </w:r>
          </w:p>
        </w:tc>
        <w:tc>
          <w:tcPr>
            <w:tcW w:w="949" w:type="dxa"/>
            <w:tcBorders>
              <w:right w:val="single" w:sz="12" w:space="0" w:color="auto"/>
            </w:tcBorders>
            <w:shd w:val="clear" w:color="auto" w:fill="auto"/>
          </w:tcPr>
          <w:p w14:paraId="0283303F" w14:textId="77777777" w:rsidR="002A310E" w:rsidRDefault="00EE481C" w:rsidP="00382AE3">
            <w:r>
              <w:t>2</w:t>
            </w:r>
          </w:p>
        </w:tc>
      </w:tr>
      <w:tr w:rsidR="002A310E" w14:paraId="2989F769" w14:textId="77777777" w:rsidTr="00AB3C76">
        <w:tc>
          <w:tcPr>
            <w:tcW w:w="6748" w:type="dxa"/>
            <w:tcBorders>
              <w:left w:val="single" w:sz="12" w:space="0" w:color="auto"/>
              <w:bottom w:val="single" w:sz="12" w:space="0" w:color="auto"/>
            </w:tcBorders>
            <w:shd w:val="clear" w:color="auto" w:fill="auto"/>
          </w:tcPr>
          <w:p w14:paraId="5C98A05C" w14:textId="77777777" w:rsidR="002A310E" w:rsidRDefault="008A646F" w:rsidP="00382AE3">
            <w:r>
              <w:t>Gebruik van lokale partners en systemen</w:t>
            </w:r>
          </w:p>
        </w:tc>
        <w:tc>
          <w:tcPr>
            <w:tcW w:w="949" w:type="dxa"/>
            <w:tcBorders>
              <w:bottom w:val="single" w:sz="12" w:space="0" w:color="auto"/>
              <w:right w:val="single" w:sz="12" w:space="0" w:color="auto"/>
            </w:tcBorders>
            <w:shd w:val="clear" w:color="auto" w:fill="auto"/>
          </w:tcPr>
          <w:p w14:paraId="664CC0B6" w14:textId="77777777" w:rsidR="002A310E" w:rsidRDefault="008C31C6" w:rsidP="00382AE3">
            <w:r>
              <w:t>3</w:t>
            </w:r>
          </w:p>
        </w:tc>
      </w:tr>
      <w:tr w:rsidR="002A310E" w:rsidRPr="00EA0AA8" w14:paraId="781312D9" w14:textId="77777777" w:rsidTr="00AB3C76">
        <w:tc>
          <w:tcPr>
            <w:tcW w:w="6748" w:type="dxa"/>
            <w:tcBorders>
              <w:top w:val="single" w:sz="12" w:space="0" w:color="auto"/>
              <w:left w:val="single" w:sz="12" w:space="0" w:color="auto"/>
              <w:bottom w:val="single" w:sz="12" w:space="0" w:color="auto"/>
            </w:tcBorders>
            <w:shd w:val="clear" w:color="auto" w:fill="D0CECE"/>
          </w:tcPr>
          <w:p w14:paraId="2CE54333" w14:textId="77777777" w:rsidR="002A310E" w:rsidRPr="00EA0AA8" w:rsidRDefault="002A310E" w:rsidP="00382AE3">
            <w:pPr>
              <w:rPr>
                <w:b/>
              </w:rPr>
            </w:pPr>
            <w:r w:rsidRPr="00F313B0">
              <w:rPr>
                <w:b/>
              </w:rPr>
              <w:t>TOTAAL</w:t>
            </w:r>
          </w:p>
        </w:tc>
        <w:tc>
          <w:tcPr>
            <w:tcW w:w="949" w:type="dxa"/>
            <w:tcBorders>
              <w:top w:val="single" w:sz="12" w:space="0" w:color="auto"/>
              <w:bottom w:val="single" w:sz="12" w:space="0" w:color="auto"/>
              <w:right w:val="single" w:sz="12" w:space="0" w:color="auto"/>
            </w:tcBorders>
            <w:shd w:val="clear" w:color="auto" w:fill="D0CECE"/>
          </w:tcPr>
          <w:p w14:paraId="724FBD03" w14:textId="77777777" w:rsidR="002A310E" w:rsidRPr="00EA0AA8" w:rsidRDefault="008C31C6" w:rsidP="00382AE3">
            <w:pPr>
              <w:rPr>
                <w:b/>
              </w:rPr>
            </w:pPr>
            <w:r>
              <w:rPr>
                <w:b/>
              </w:rPr>
              <w:t>2</w:t>
            </w:r>
          </w:p>
        </w:tc>
      </w:tr>
    </w:tbl>
    <w:p w14:paraId="0EC70B4B" w14:textId="77777777" w:rsidR="008C7D5D" w:rsidRDefault="008C7D5D" w:rsidP="00D32F98"/>
    <w:p w14:paraId="0508E47D" w14:textId="0D3EE2F5" w:rsidR="00D32F98" w:rsidRDefault="00D32F98" w:rsidP="00784329">
      <w:pPr>
        <w:ind w:firstLine="227"/>
      </w:pPr>
      <w:r w:rsidRPr="00193994">
        <w:t>Ver</w:t>
      </w:r>
      <w:r>
        <w:t>andering sinds 2015: positief</w:t>
      </w:r>
      <w:r w:rsidRPr="00193994">
        <w:t xml:space="preserve"> =</w:t>
      </w:r>
      <w:r w:rsidR="00AE6CA2">
        <w:t xml:space="preserve"> </w:t>
      </w:r>
      <w:r w:rsidRPr="00193994">
        <w:sym w:font="Wingdings" w:char="F0E9"/>
      </w:r>
    </w:p>
    <w:p w14:paraId="3840761F" w14:textId="77777777" w:rsidR="00784329" w:rsidRDefault="00784329" w:rsidP="00D32F98">
      <w:pPr>
        <w:rPr>
          <w:b/>
        </w:rPr>
      </w:pPr>
    </w:p>
    <w:p w14:paraId="3D994E87" w14:textId="17AA75A7" w:rsidR="00C9583F" w:rsidRDefault="00784329" w:rsidP="00784329">
      <w:pPr>
        <w:pStyle w:val="Heading2"/>
        <w:tabs>
          <w:tab w:val="left" w:pos="-1162"/>
          <w:tab w:val="left" w:pos="0"/>
          <w:tab w:val="num" w:pos="1160"/>
        </w:tabs>
        <w:spacing w:line="240" w:lineRule="auto"/>
        <w:ind w:hanging="1162"/>
      </w:pPr>
      <w:bookmarkStart w:id="39" w:name="_Toc491421106"/>
      <w:r>
        <w:t>4</w:t>
      </w:r>
      <w:r w:rsidR="00E276B2">
        <w:t>.</w:t>
      </w:r>
      <w:r w:rsidR="00A74DEC">
        <w:t>5</w:t>
      </w:r>
      <w:r w:rsidR="00E276B2">
        <w:tab/>
      </w:r>
      <w:r w:rsidR="003A32D7" w:rsidRPr="004D372F">
        <w:t>Beleidsevaluatie</w:t>
      </w:r>
      <w:bookmarkEnd w:id="39"/>
    </w:p>
    <w:p w14:paraId="3D6673CD" w14:textId="4B2F7B06" w:rsidR="007426B0" w:rsidRDefault="00AA3CB7" w:rsidP="007426B0">
      <w:r>
        <w:t xml:space="preserve">De WHO is lid van de </w:t>
      </w:r>
      <w:r w:rsidRPr="00546466">
        <w:rPr>
          <w:i/>
        </w:rPr>
        <w:t xml:space="preserve">United Nations </w:t>
      </w:r>
      <w:proofErr w:type="spellStart"/>
      <w:r w:rsidRPr="00546466">
        <w:rPr>
          <w:i/>
        </w:rPr>
        <w:t>Evaluations</w:t>
      </w:r>
      <w:proofErr w:type="spellEnd"/>
      <w:r w:rsidRPr="00546466">
        <w:rPr>
          <w:i/>
        </w:rPr>
        <w:t xml:space="preserve"> Group</w:t>
      </w:r>
      <w:r>
        <w:t xml:space="preserve"> (UNEG) en neemt deel aan de Uitvoerende Groep en de verschillende taakgroepen. Het evaluatiebeleid van de WHO is gebaseerd op de principes van UNEG. </w:t>
      </w:r>
      <w:r w:rsidR="00C73FBC">
        <w:t xml:space="preserve">Tijdens het hervormingsproces van de WHO </w:t>
      </w:r>
      <w:r w:rsidR="008808F1">
        <w:t>zijn</w:t>
      </w:r>
      <w:r w:rsidR="00C73FBC">
        <w:t xml:space="preserve"> </w:t>
      </w:r>
      <w:r w:rsidR="008808F1">
        <w:t>het verbeteren van de evaluatiefunctie en het creëren van een lerende organisatie als belangrijke stappen geïdentificeerd. In 2014 is de evaluatiefunctie omgevormd tot een aparte, onafhankelijke, eenheid om de onafhankelijkheid van de evaluaties te waarborgen. In 2015 is een raamwerk ontwikkeld om de evaluatiefunctie en de leercultuur te verbeteren.</w:t>
      </w:r>
      <w:r w:rsidR="009E0630">
        <w:t xml:space="preserve"> </w:t>
      </w:r>
      <w:r w:rsidR="008808F1">
        <w:t>In het jaarrapport van de evaluatie unit (mei 2016) is in het kader van het streven naar een lerende organisatie geanalyseerd in hoeverre de aanbevelingen van 13 recente evaluaties zijn geïmplementeerd.</w:t>
      </w:r>
      <w:r w:rsidR="007426B0">
        <w:t xml:space="preserve"> De evaluatie unit zal ook de implementatie van aanbevelingen van komende evaluaties monitoren en hierover rapporteren aan de </w:t>
      </w:r>
      <w:r w:rsidR="007426B0">
        <w:rPr>
          <w:i/>
        </w:rPr>
        <w:t>Executive Board</w:t>
      </w:r>
      <w:r w:rsidR="007426B0">
        <w:t xml:space="preserve"> in het jaarrapport. Vooralsnog zijn niet alle evaluaties publiekelijk toegankelijk. WHO heeft aangegeven op korte termijn alle evaluaties op de website te plaatsen.</w:t>
      </w:r>
    </w:p>
    <w:p w14:paraId="1E754263" w14:textId="43221331" w:rsidR="003D76AB" w:rsidRDefault="00AE6CA2" w:rsidP="00C9583F">
      <w:r>
        <w:t xml:space="preserve"> </w:t>
      </w:r>
    </w:p>
    <w:p w14:paraId="13808B50" w14:textId="6D860722" w:rsidR="00F303BE" w:rsidRDefault="007426B0" w:rsidP="00C9583F">
      <w:r>
        <w:t>De WHO beschikt over een evaluatiebeleid waarin is vastgelegd dat er evaluaties worden gedaan met betrekking tot het budget, de programma’s, de verschillende thema’s en per landen.</w:t>
      </w:r>
      <w:r w:rsidR="00414945">
        <w:t xml:space="preserve"> </w:t>
      </w:r>
      <w:r w:rsidR="00B90F9E">
        <w:t>Het evaluatiebeleid</w:t>
      </w:r>
      <w:r w:rsidR="001873C9">
        <w:t xml:space="preserve"> wordt verder uitgewerkt in een handboek over de praktijk van evaluaties</w:t>
      </w:r>
      <w:r w:rsidR="00AA3CB7">
        <w:t xml:space="preserve"> en tweejaarlijkse werkplannen</w:t>
      </w:r>
      <w:r w:rsidR="001873C9">
        <w:t>.</w:t>
      </w:r>
      <w:r w:rsidR="00547109">
        <w:t xml:space="preserve"> </w:t>
      </w:r>
    </w:p>
    <w:p w14:paraId="31B208AB" w14:textId="77777777" w:rsidR="00C661FC" w:rsidRDefault="00CE40C5" w:rsidP="00C9583F">
      <w:r>
        <w:t>In het werkplan 2016-2017 staan 11 centrale en 13 decentrale evaluaties gepland</w:t>
      </w:r>
      <w:r w:rsidR="001B0E4A">
        <w:t>. D</w:t>
      </w:r>
      <w:r>
        <w:t xml:space="preserve">aar vallen </w:t>
      </w:r>
      <w:r w:rsidR="001B0E4A">
        <w:t xml:space="preserve">de </w:t>
      </w:r>
      <w:r>
        <w:t xml:space="preserve">evaluaties van het beleid van de WHO in </w:t>
      </w:r>
      <w:r w:rsidR="001B0E4A">
        <w:t xml:space="preserve">zijn </w:t>
      </w:r>
      <w:r>
        <w:t xml:space="preserve">geheel onder, maar ook het functioneren van programma’s en van de landenkantoren en regionale kantoren. </w:t>
      </w:r>
      <w:r w:rsidR="001B0E4A">
        <w:t xml:space="preserve">Daarnaast </w:t>
      </w:r>
      <w:r>
        <w:t xml:space="preserve">worden er gezamenlijke evaluaties uitgevoerd met partners. </w:t>
      </w:r>
    </w:p>
    <w:p w14:paraId="0590FD5E" w14:textId="77777777" w:rsidR="00C661FC" w:rsidRDefault="00C661FC" w:rsidP="00C9583F"/>
    <w:p w14:paraId="301E5F25" w14:textId="77777777" w:rsidR="00C661FC" w:rsidRDefault="00C661FC" w:rsidP="00C9583F"/>
    <w:p w14:paraId="5807A41A" w14:textId="77777777" w:rsidR="00C661FC" w:rsidRDefault="00C661FC" w:rsidP="00C9583F"/>
    <w:p w14:paraId="6A46F48A" w14:textId="77777777" w:rsidR="00C661FC" w:rsidRDefault="00C661FC" w:rsidP="00C9583F"/>
    <w:p w14:paraId="4E73516E" w14:textId="77777777" w:rsidR="00C661FC" w:rsidRDefault="00C661FC" w:rsidP="00C9583F"/>
    <w:p w14:paraId="3253CD92" w14:textId="77777777" w:rsidR="00C661FC" w:rsidRDefault="00C661FC" w:rsidP="00C9583F"/>
    <w:p w14:paraId="44985CDD" w14:textId="77777777" w:rsidR="00C661FC" w:rsidRDefault="00C661FC" w:rsidP="00C9583F"/>
    <w:p w14:paraId="456D2A25" w14:textId="4E2A374D" w:rsidR="00363EB5" w:rsidRDefault="004A5F9A" w:rsidP="00C9583F">
      <w: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2A310E" w:rsidRPr="00EA0AA8" w14:paraId="37BA6AB2" w14:textId="77777777" w:rsidTr="008A62F1">
        <w:tc>
          <w:tcPr>
            <w:tcW w:w="6748" w:type="dxa"/>
            <w:tcBorders>
              <w:top w:val="single" w:sz="12" w:space="0" w:color="auto"/>
              <w:left w:val="single" w:sz="12" w:space="0" w:color="auto"/>
              <w:bottom w:val="single" w:sz="12" w:space="0" w:color="auto"/>
            </w:tcBorders>
            <w:shd w:val="clear" w:color="auto" w:fill="D0CECE"/>
          </w:tcPr>
          <w:p w14:paraId="07F69C1F" w14:textId="77777777" w:rsidR="002A310E" w:rsidRPr="00EA0AA8" w:rsidRDefault="002A310E" w:rsidP="00382AE3">
            <w:pPr>
              <w:rPr>
                <w:b/>
              </w:rPr>
            </w:pPr>
            <w:r w:rsidRPr="00EA0AA8">
              <w:rPr>
                <w:b/>
              </w:rPr>
              <w:lastRenderedPageBreak/>
              <w:t>Onderdeel</w:t>
            </w:r>
          </w:p>
        </w:tc>
        <w:tc>
          <w:tcPr>
            <w:tcW w:w="949" w:type="dxa"/>
            <w:tcBorders>
              <w:top w:val="single" w:sz="12" w:space="0" w:color="auto"/>
              <w:bottom w:val="single" w:sz="12" w:space="0" w:color="auto"/>
              <w:right w:val="single" w:sz="12" w:space="0" w:color="auto"/>
            </w:tcBorders>
            <w:shd w:val="clear" w:color="auto" w:fill="D0CECE"/>
          </w:tcPr>
          <w:p w14:paraId="1ACFFA1A" w14:textId="77777777" w:rsidR="002A310E" w:rsidRPr="00EA0AA8" w:rsidRDefault="002A310E" w:rsidP="00382AE3">
            <w:pPr>
              <w:rPr>
                <w:b/>
              </w:rPr>
            </w:pPr>
            <w:r w:rsidRPr="00EA0AA8">
              <w:rPr>
                <w:b/>
              </w:rPr>
              <w:t>Score</w:t>
            </w:r>
          </w:p>
        </w:tc>
      </w:tr>
      <w:tr w:rsidR="002A310E" w14:paraId="36F8C19A" w14:textId="77777777" w:rsidTr="008A62F1">
        <w:tc>
          <w:tcPr>
            <w:tcW w:w="6748" w:type="dxa"/>
            <w:tcBorders>
              <w:top w:val="single" w:sz="12" w:space="0" w:color="auto"/>
              <w:left w:val="single" w:sz="12" w:space="0" w:color="auto"/>
            </w:tcBorders>
            <w:shd w:val="clear" w:color="auto" w:fill="auto"/>
          </w:tcPr>
          <w:p w14:paraId="059C11CC" w14:textId="77777777" w:rsidR="002A310E" w:rsidRDefault="008A646F" w:rsidP="00382AE3">
            <w:r>
              <w:t>Helder vastgelegd evaluatiebeleid</w:t>
            </w:r>
          </w:p>
        </w:tc>
        <w:tc>
          <w:tcPr>
            <w:tcW w:w="949" w:type="dxa"/>
            <w:tcBorders>
              <w:top w:val="single" w:sz="12" w:space="0" w:color="auto"/>
              <w:right w:val="single" w:sz="12" w:space="0" w:color="auto"/>
            </w:tcBorders>
            <w:shd w:val="clear" w:color="auto" w:fill="auto"/>
          </w:tcPr>
          <w:p w14:paraId="4F637E80" w14:textId="77777777" w:rsidR="002A310E" w:rsidRDefault="002E60FE" w:rsidP="00382AE3">
            <w:r>
              <w:t>4</w:t>
            </w:r>
          </w:p>
        </w:tc>
      </w:tr>
      <w:tr w:rsidR="002A310E" w14:paraId="3F44F8D5" w14:textId="77777777" w:rsidTr="008A62F1">
        <w:tc>
          <w:tcPr>
            <w:tcW w:w="6748" w:type="dxa"/>
            <w:tcBorders>
              <w:left w:val="single" w:sz="12" w:space="0" w:color="auto"/>
            </w:tcBorders>
            <w:shd w:val="clear" w:color="auto" w:fill="auto"/>
          </w:tcPr>
          <w:p w14:paraId="00280744" w14:textId="77777777" w:rsidR="002A310E" w:rsidRDefault="008A646F" w:rsidP="00382AE3">
            <w:r>
              <w:t>Inrichting evaluatiefunctie</w:t>
            </w:r>
          </w:p>
        </w:tc>
        <w:tc>
          <w:tcPr>
            <w:tcW w:w="949" w:type="dxa"/>
            <w:tcBorders>
              <w:right w:val="single" w:sz="12" w:space="0" w:color="auto"/>
            </w:tcBorders>
            <w:shd w:val="clear" w:color="auto" w:fill="auto"/>
          </w:tcPr>
          <w:p w14:paraId="1AAB78C6" w14:textId="77777777" w:rsidR="002A310E" w:rsidRDefault="008C31C6" w:rsidP="00382AE3">
            <w:r>
              <w:t>3</w:t>
            </w:r>
          </w:p>
        </w:tc>
      </w:tr>
      <w:tr w:rsidR="002A310E" w14:paraId="166FCCFD" w14:textId="77777777" w:rsidTr="008A62F1">
        <w:tc>
          <w:tcPr>
            <w:tcW w:w="6748" w:type="dxa"/>
            <w:tcBorders>
              <w:left w:val="single" w:sz="12" w:space="0" w:color="auto"/>
            </w:tcBorders>
            <w:shd w:val="clear" w:color="auto" w:fill="auto"/>
          </w:tcPr>
          <w:p w14:paraId="540ACE5D" w14:textId="77777777" w:rsidR="002A310E" w:rsidRDefault="008A646F" w:rsidP="00382AE3">
            <w:r>
              <w:t>Onafhankelijkheid eval</w:t>
            </w:r>
            <w:r w:rsidR="00537DB3">
              <w:t>uatie-</w:t>
            </w:r>
            <w:r>
              <w:t>eenheid</w:t>
            </w:r>
          </w:p>
        </w:tc>
        <w:tc>
          <w:tcPr>
            <w:tcW w:w="949" w:type="dxa"/>
            <w:tcBorders>
              <w:right w:val="single" w:sz="12" w:space="0" w:color="auto"/>
            </w:tcBorders>
            <w:shd w:val="clear" w:color="auto" w:fill="auto"/>
          </w:tcPr>
          <w:p w14:paraId="3D9BA0AC" w14:textId="77777777" w:rsidR="002A310E" w:rsidRDefault="008B403B" w:rsidP="00382AE3">
            <w:r>
              <w:t>3</w:t>
            </w:r>
          </w:p>
        </w:tc>
      </w:tr>
      <w:tr w:rsidR="00AA4C2B" w14:paraId="2A66C77E" w14:textId="77777777" w:rsidTr="008A62F1">
        <w:tc>
          <w:tcPr>
            <w:tcW w:w="6748" w:type="dxa"/>
            <w:tcBorders>
              <w:left w:val="single" w:sz="12" w:space="0" w:color="auto"/>
            </w:tcBorders>
            <w:shd w:val="clear" w:color="auto" w:fill="auto"/>
          </w:tcPr>
          <w:p w14:paraId="5A17CBF8" w14:textId="77777777" w:rsidR="00AA4C2B" w:rsidRDefault="00AA4C2B" w:rsidP="00382AE3">
            <w:r>
              <w:t>Reikwijdte en relevantie evaluaties</w:t>
            </w:r>
          </w:p>
        </w:tc>
        <w:tc>
          <w:tcPr>
            <w:tcW w:w="949" w:type="dxa"/>
            <w:tcBorders>
              <w:right w:val="single" w:sz="12" w:space="0" w:color="auto"/>
            </w:tcBorders>
            <w:shd w:val="clear" w:color="auto" w:fill="auto"/>
          </w:tcPr>
          <w:p w14:paraId="5DF8BC90" w14:textId="77777777" w:rsidR="00AA4C2B" w:rsidRDefault="001C38A3" w:rsidP="00382AE3">
            <w:r>
              <w:t>3</w:t>
            </w:r>
          </w:p>
        </w:tc>
      </w:tr>
      <w:tr w:rsidR="002A310E" w14:paraId="78D21A73" w14:textId="77777777" w:rsidTr="008A62F1">
        <w:tc>
          <w:tcPr>
            <w:tcW w:w="6748" w:type="dxa"/>
            <w:tcBorders>
              <w:left w:val="single" w:sz="12" w:space="0" w:color="auto"/>
              <w:bottom w:val="single" w:sz="12" w:space="0" w:color="auto"/>
            </w:tcBorders>
            <w:shd w:val="clear" w:color="auto" w:fill="auto"/>
          </w:tcPr>
          <w:p w14:paraId="43FFE4D2" w14:textId="77777777" w:rsidR="002A310E" w:rsidRDefault="008A646F" w:rsidP="00382AE3">
            <w:r>
              <w:t>Follow up aanbevelingen evaluaties</w:t>
            </w:r>
          </w:p>
        </w:tc>
        <w:tc>
          <w:tcPr>
            <w:tcW w:w="949" w:type="dxa"/>
            <w:tcBorders>
              <w:bottom w:val="single" w:sz="12" w:space="0" w:color="auto"/>
              <w:right w:val="single" w:sz="12" w:space="0" w:color="auto"/>
            </w:tcBorders>
            <w:shd w:val="clear" w:color="auto" w:fill="auto"/>
          </w:tcPr>
          <w:p w14:paraId="4AFA2108" w14:textId="77777777" w:rsidR="002A310E" w:rsidRDefault="008C31C6" w:rsidP="00382AE3">
            <w:r>
              <w:t>3</w:t>
            </w:r>
          </w:p>
        </w:tc>
      </w:tr>
      <w:tr w:rsidR="002A310E" w:rsidRPr="00EA0AA8" w14:paraId="25CE616C" w14:textId="77777777" w:rsidTr="008A62F1">
        <w:tc>
          <w:tcPr>
            <w:tcW w:w="6748" w:type="dxa"/>
            <w:tcBorders>
              <w:top w:val="single" w:sz="12" w:space="0" w:color="auto"/>
              <w:left w:val="single" w:sz="12" w:space="0" w:color="auto"/>
              <w:bottom w:val="single" w:sz="12" w:space="0" w:color="auto"/>
            </w:tcBorders>
            <w:shd w:val="clear" w:color="auto" w:fill="D0CECE"/>
          </w:tcPr>
          <w:p w14:paraId="2F4DB938" w14:textId="77777777" w:rsidR="002A310E" w:rsidRPr="00EA0AA8" w:rsidRDefault="002A310E" w:rsidP="00382AE3">
            <w:pPr>
              <w:rPr>
                <w:b/>
              </w:rPr>
            </w:pPr>
            <w:r w:rsidRPr="00F313B0">
              <w:rPr>
                <w:b/>
              </w:rPr>
              <w:t>TOTAAL</w:t>
            </w:r>
          </w:p>
        </w:tc>
        <w:tc>
          <w:tcPr>
            <w:tcW w:w="949" w:type="dxa"/>
            <w:tcBorders>
              <w:top w:val="single" w:sz="12" w:space="0" w:color="auto"/>
              <w:bottom w:val="single" w:sz="12" w:space="0" w:color="auto"/>
              <w:right w:val="single" w:sz="12" w:space="0" w:color="auto"/>
            </w:tcBorders>
            <w:shd w:val="clear" w:color="auto" w:fill="D0CECE"/>
          </w:tcPr>
          <w:p w14:paraId="53C77488" w14:textId="77777777" w:rsidR="002A310E" w:rsidRPr="00EA0AA8" w:rsidRDefault="00AB3C76" w:rsidP="00382AE3">
            <w:pPr>
              <w:rPr>
                <w:b/>
              </w:rPr>
            </w:pPr>
            <w:r>
              <w:rPr>
                <w:b/>
              </w:rPr>
              <w:t>3</w:t>
            </w:r>
          </w:p>
        </w:tc>
      </w:tr>
    </w:tbl>
    <w:p w14:paraId="797C21CE" w14:textId="77777777" w:rsidR="008C7D5D" w:rsidRDefault="008C7D5D" w:rsidP="00D32F98"/>
    <w:p w14:paraId="2A29D72B" w14:textId="0C90BF0E" w:rsidR="00D32F98" w:rsidRDefault="00D32F98" w:rsidP="00784329">
      <w:pPr>
        <w:ind w:firstLine="227"/>
      </w:pPr>
      <w:r w:rsidRPr="00193994">
        <w:t>Ver</w:t>
      </w:r>
      <w:r>
        <w:t>andering sinds 2015: positief</w:t>
      </w:r>
      <w:r w:rsidRPr="00193994">
        <w:t xml:space="preserve"> =</w:t>
      </w:r>
      <w:r w:rsidR="00AE6CA2">
        <w:t xml:space="preserve"> </w:t>
      </w:r>
      <w:r w:rsidRPr="00193994">
        <w:sym w:font="Wingdings" w:char="F0E9"/>
      </w:r>
    </w:p>
    <w:p w14:paraId="27FE27B3" w14:textId="77777777" w:rsidR="00C661FC" w:rsidRDefault="00C661FC" w:rsidP="00784329">
      <w:pPr>
        <w:ind w:firstLine="227"/>
        <w:rPr>
          <w:b/>
        </w:rPr>
      </w:pPr>
    </w:p>
    <w:p w14:paraId="35C08F93" w14:textId="6B783F9E" w:rsidR="00AE47B4" w:rsidRDefault="00784329" w:rsidP="00784329">
      <w:pPr>
        <w:pStyle w:val="Heading2"/>
        <w:tabs>
          <w:tab w:val="left" w:pos="-1162"/>
          <w:tab w:val="left" w:pos="0"/>
          <w:tab w:val="num" w:pos="1160"/>
        </w:tabs>
        <w:spacing w:line="240" w:lineRule="auto"/>
        <w:ind w:hanging="1162"/>
        <w:rPr>
          <w:szCs w:val="18"/>
        </w:rPr>
      </w:pPr>
      <w:bookmarkStart w:id="40" w:name="_Toc348364671"/>
      <w:bookmarkStart w:id="41" w:name="_Toc491421107"/>
      <w:r>
        <w:t>4</w:t>
      </w:r>
      <w:r w:rsidR="004D372F" w:rsidRPr="004D372F">
        <w:t>.</w:t>
      </w:r>
      <w:r w:rsidR="00A74DEC">
        <w:t>6</w:t>
      </w:r>
      <w:r w:rsidR="004D372F">
        <w:tab/>
      </w:r>
      <w:r w:rsidR="00DE343C" w:rsidRPr="004D372F">
        <w:t>Human Resource Management</w:t>
      </w:r>
      <w:bookmarkEnd w:id="40"/>
      <w:bookmarkEnd w:id="41"/>
    </w:p>
    <w:p w14:paraId="3750CE66" w14:textId="0BF75C6D" w:rsidR="00C63761" w:rsidRDefault="00C63761" w:rsidP="00C63761">
      <w:pPr>
        <w:pStyle w:val="PlainText"/>
        <w:rPr>
          <w:rFonts w:ascii="Verdana" w:hAnsi="Verdana"/>
          <w:sz w:val="18"/>
          <w:szCs w:val="18"/>
        </w:rPr>
      </w:pPr>
      <w:r w:rsidRPr="00A72D2D">
        <w:rPr>
          <w:rFonts w:ascii="Verdana" w:hAnsi="Verdana"/>
          <w:sz w:val="18"/>
          <w:szCs w:val="18"/>
        </w:rPr>
        <w:t>Er heeft een verschuiving plaatsgevonden in de WHO als het gaat om het type contract (vaste aanstelling, tijdelijke aa</w:t>
      </w:r>
      <w:r w:rsidR="00646A07">
        <w:rPr>
          <w:rFonts w:ascii="Verdana" w:hAnsi="Verdana"/>
          <w:sz w:val="18"/>
          <w:szCs w:val="18"/>
        </w:rPr>
        <w:t>nstelling en externe inhuur)</w:t>
      </w:r>
      <w:r w:rsidRPr="00A72D2D">
        <w:rPr>
          <w:rFonts w:ascii="Verdana" w:hAnsi="Verdana"/>
          <w:sz w:val="18"/>
          <w:szCs w:val="18"/>
        </w:rPr>
        <w:t>. In 2015 bestond ongeveer 40% van het personeelsbestand uit</w:t>
      </w:r>
      <w:r w:rsidR="0091795B" w:rsidRPr="00A72D2D">
        <w:rPr>
          <w:rFonts w:ascii="Verdana" w:hAnsi="Verdana"/>
          <w:sz w:val="18"/>
          <w:szCs w:val="18"/>
        </w:rPr>
        <w:t xml:space="preserve"> mensen die geen directe werknemer van de WHO zijn</w:t>
      </w:r>
      <w:r w:rsidRPr="00A72D2D">
        <w:rPr>
          <w:rFonts w:ascii="Verdana" w:hAnsi="Verdana"/>
          <w:sz w:val="18"/>
          <w:szCs w:val="18"/>
        </w:rPr>
        <w:t>. Volgens de externe auditor brengt dit risico’s met zich mee</w:t>
      </w:r>
      <w:r w:rsidR="001B0E4A">
        <w:rPr>
          <w:rFonts w:ascii="Verdana" w:hAnsi="Verdana"/>
          <w:sz w:val="18"/>
          <w:szCs w:val="18"/>
        </w:rPr>
        <w:t>, onder andere</w:t>
      </w:r>
      <w:r w:rsidRPr="00A72D2D">
        <w:rPr>
          <w:rFonts w:ascii="Verdana" w:hAnsi="Verdana"/>
          <w:sz w:val="18"/>
          <w:szCs w:val="18"/>
        </w:rPr>
        <w:t xml:space="preserve"> als het gaat om het verkrijgen van intellectu</w:t>
      </w:r>
      <w:r w:rsidR="0029530A" w:rsidRPr="00A72D2D">
        <w:rPr>
          <w:rFonts w:ascii="Verdana" w:hAnsi="Verdana"/>
          <w:sz w:val="18"/>
          <w:szCs w:val="18"/>
        </w:rPr>
        <w:t>eel eigendom</w:t>
      </w:r>
      <w:r w:rsidRPr="00A72D2D">
        <w:rPr>
          <w:rFonts w:ascii="Verdana" w:hAnsi="Verdana"/>
          <w:sz w:val="18"/>
          <w:szCs w:val="18"/>
        </w:rPr>
        <w:t>, maar ook voor verzekeringen en veiligheid van</w:t>
      </w:r>
      <w:r w:rsidR="001C38A3">
        <w:rPr>
          <w:rFonts w:ascii="Verdana" w:hAnsi="Verdana"/>
          <w:sz w:val="18"/>
          <w:szCs w:val="18"/>
        </w:rPr>
        <w:t xml:space="preserve"> </w:t>
      </w:r>
      <w:r w:rsidRPr="00A72D2D">
        <w:rPr>
          <w:rFonts w:ascii="Verdana" w:hAnsi="Verdana"/>
          <w:sz w:val="18"/>
          <w:szCs w:val="18"/>
        </w:rPr>
        <w:t xml:space="preserve">personeel. </w:t>
      </w:r>
    </w:p>
    <w:p w14:paraId="320AEA49" w14:textId="77777777" w:rsidR="001B0E4A" w:rsidRPr="00A72D2D" w:rsidRDefault="001B0E4A" w:rsidP="00C63761">
      <w:pPr>
        <w:pStyle w:val="PlainText"/>
        <w:rPr>
          <w:rFonts w:ascii="Verdana" w:hAnsi="Verdana"/>
          <w:sz w:val="18"/>
          <w:szCs w:val="18"/>
        </w:rPr>
      </w:pPr>
    </w:p>
    <w:p w14:paraId="67CAB414" w14:textId="76F25BA8" w:rsidR="00B97F50" w:rsidRDefault="00B97F50" w:rsidP="00BB150F">
      <w:pPr>
        <w:pStyle w:val="PlainText"/>
        <w:rPr>
          <w:rFonts w:ascii="Verdana" w:hAnsi="Verdana"/>
          <w:sz w:val="18"/>
          <w:szCs w:val="18"/>
        </w:rPr>
      </w:pPr>
      <w:r>
        <w:rPr>
          <w:rFonts w:ascii="Verdana" w:hAnsi="Verdana"/>
          <w:sz w:val="18"/>
          <w:szCs w:val="18"/>
        </w:rPr>
        <w:t xml:space="preserve">In januari 2016 </w:t>
      </w:r>
      <w:r w:rsidR="00781B9B">
        <w:rPr>
          <w:rFonts w:ascii="Verdana" w:hAnsi="Verdana"/>
          <w:sz w:val="18"/>
          <w:szCs w:val="18"/>
        </w:rPr>
        <w:t>startte de WHO</w:t>
      </w:r>
      <w:r w:rsidR="002668D1">
        <w:rPr>
          <w:rFonts w:ascii="Verdana" w:hAnsi="Verdana"/>
          <w:sz w:val="18"/>
          <w:szCs w:val="18"/>
        </w:rPr>
        <w:t xml:space="preserve"> </w:t>
      </w:r>
      <w:r w:rsidR="00781B9B">
        <w:rPr>
          <w:rFonts w:ascii="Verdana" w:hAnsi="Verdana"/>
          <w:sz w:val="18"/>
          <w:szCs w:val="18"/>
        </w:rPr>
        <w:t xml:space="preserve">met </w:t>
      </w:r>
      <w:r w:rsidR="00C955C0">
        <w:rPr>
          <w:rFonts w:ascii="Verdana" w:hAnsi="Verdana"/>
          <w:sz w:val="18"/>
          <w:szCs w:val="18"/>
        </w:rPr>
        <w:t xml:space="preserve">het nieuwe </w:t>
      </w:r>
      <w:r>
        <w:rPr>
          <w:rFonts w:ascii="Verdana" w:hAnsi="Verdana"/>
          <w:sz w:val="18"/>
          <w:szCs w:val="18"/>
        </w:rPr>
        <w:t>mobiliteitsbeleid</w:t>
      </w:r>
      <w:r w:rsidR="00781B9B">
        <w:rPr>
          <w:rFonts w:ascii="Verdana" w:hAnsi="Verdana"/>
          <w:sz w:val="18"/>
          <w:szCs w:val="18"/>
        </w:rPr>
        <w:t>.</w:t>
      </w:r>
      <w:r>
        <w:rPr>
          <w:rFonts w:ascii="Verdana" w:hAnsi="Verdana"/>
          <w:sz w:val="18"/>
          <w:szCs w:val="18"/>
        </w:rPr>
        <w:t xml:space="preserve"> Dit </w:t>
      </w:r>
      <w:r w:rsidRPr="00BB150F">
        <w:rPr>
          <w:rFonts w:ascii="Verdana" w:hAnsi="Verdana"/>
          <w:sz w:val="18"/>
          <w:szCs w:val="18"/>
        </w:rPr>
        <w:t xml:space="preserve">zal </w:t>
      </w:r>
      <w:r w:rsidR="00C955C0">
        <w:rPr>
          <w:rFonts w:ascii="Verdana" w:hAnsi="Verdana"/>
          <w:sz w:val="18"/>
          <w:szCs w:val="18"/>
        </w:rPr>
        <w:t xml:space="preserve">voor alle werknemers </w:t>
      </w:r>
      <w:r w:rsidRPr="00BB150F">
        <w:rPr>
          <w:rFonts w:ascii="Verdana" w:hAnsi="Verdana"/>
          <w:sz w:val="18"/>
          <w:szCs w:val="18"/>
        </w:rPr>
        <w:t xml:space="preserve">verplicht ingaan op 1 januari 2019. Tot die tijd mag er op vrijwillige basis </w:t>
      </w:r>
      <w:r w:rsidR="00796C40" w:rsidRPr="00BB150F">
        <w:rPr>
          <w:rFonts w:ascii="Verdana" w:hAnsi="Verdana"/>
          <w:sz w:val="18"/>
          <w:szCs w:val="18"/>
        </w:rPr>
        <w:t>gebruik</w:t>
      </w:r>
      <w:r w:rsidR="001C38A3">
        <w:rPr>
          <w:rFonts w:ascii="Verdana" w:hAnsi="Verdana"/>
          <w:sz w:val="18"/>
          <w:szCs w:val="18"/>
        </w:rPr>
        <w:t xml:space="preserve"> van</w:t>
      </w:r>
      <w:r w:rsidR="00796C40" w:rsidRPr="00BB150F">
        <w:rPr>
          <w:rFonts w:ascii="Verdana" w:hAnsi="Verdana"/>
          <w:sz w:val="18"/>
          <w:szCs w:val="18"/>
        </w:rPr>
        <w:t xml:space="preserve"> </w:t>
      </w:r>
      <w:r w:rsidRPr="00BB150F">
        <w:rPr>
          <w:rFonts w:ascii="Verdana" w:hAnsi="Verdana"/>
          <w:sz w:val="18"/>
          <w:szCs w:val="18"/>
        </w:rPr>
        <w:t>worden gemaakt</w:t>
      </w:r>
      <w:r w:rsidR="00796C40" w:rsidRPr="00BB150F">
        <w:rPr>
          <w:rFonts w:ascii="Verdana" w:hAnsi="Verdana"/>
          <w:sz w:val="18"/>
          <w:szCs w:val="18"/>
        </w:rPr>
        <w:t>.</w:t>
      </w:r>
      <w:r w:rsidRPr="00BB150F">
        <w:rPr>
          <w:rFonts w:ascii="Verdana" w:hAnsi="Verdana"/>
          <w:sz w:val="18"/>
          <w:szCs w:val="18"/>
        </w:rPr>
        <w:t xml:space="preserve"> Het beleid houdt in dat elke stafmedewerker na een bepaalde tijd in een functie zal moeten verplaatsen. </w:t>
      </w:r>
      <w:r w:rsidR="00BB150F" w:rsidRPr="00BB150F">
        <w:rPr>
          <w:rFonts w:ascii="Verdana" w:hAnsi="Verdana"/>
          <w:sz w:val="18"/>
          <w:szCs w:val="18"/>
        </w:rPr>
        <w:t>Een strategie om ook mobiliteit tussen andere organisaties te stimuleren is nog niet uitgewerkt.</w:t>
      </w:r>
    </w:p>
    <w:p w14:paraId="666B60FE" w14:textId="5F53CE6C" w:rsidR="009A0AE0" w:rsidRPr="003D3A8C" w:rsidRDefault="00713CEA" w:rsidP="00C63761">
      <w:pPr>
        <w:pStyle w:val="PlainText"/>
        <w:rPr>
          <w:rFonts w:ascii="Verdana" w:hAnsi="Verdana"/>
          <w:sz w:val="18"/>
          <w:szCs w:val="18"/>
        </w:rPr>
      </w:pPr>
      <w:r>
        <w:rPr>
          <w:rFonts w:ascii="Verdana" w:hAnsi="Verdana"/>
          <w:sz w:val="18"/>
          <w:szCs w:val="18"/>
        </w:rPr>
        <w:t xml:space="preserve">Op basis van aanbevelingen van de externe auditor stelt </w:t>
      </w:r>
      <w:r w:rsidR="009A0AE0">
        <w:rPr>
          <w:rFonts w:ascii="Verdana" w:hAnsi="Verdana"/>
          <w:sz w:val="18"/>
          <w:szCs w:val="18"/>
        </w:rPr>
        <w:t>WHO zichzelf</w:t>
      </w:r>
      <w:r w:rsidR="00D00E5A">
        <w:rPr>
          <w:rFonts w:ascii="Verdana" w:hAnsi="Verdana"/>
          <w:sz w:val="18"/>
          <w:szCs w:val="18"/>
        </w:rPr>
        <w:t xml:space="preserve"> nu</w:t>
      </w:r>
      <w:r w:rsidR="009A0AE0">
        <w:rPr>
          <w:rFonts w:ascii="Verdana" w:hAnsi="Verdana"/>
          <w:sz w:val="18"/>
          <w:szCs w:val="18"/>
        </w:rPr>
        <w:t xml:space="preserve"> doelen om de genderbalans</w:t>
      </w:r>
      <w:r>
        <w:rPr>
          <w:rFonts w:ascii="Verdana" w:hAnsi="Verdana"/>
          <w:sz w:val="18"/>
          <w:szCs w:val="18"/>
        </w:rPr>
        <w:t xml:space="preserve">, </w:t>
      </w:r>
      <w:r w:rsidR="001B0E4A">
        <w:rPr>
          <w:rFonts w:ascii="Verdana" w:hAnsi="Verdana"/>
          <w:sz w:val="18"/>
          <w:szCs w:val="18"/>
        </w:rPr>
        <w:t xml:space="preserve">de </w:t>
      </w:r>
      <w:r>
        <w:rPr>
          <w:rFonts w:ascii="Verdana" w:hAnsi="Verdana"/>
          <w:sz w:val="18"/>
          <w:szCs w:val="18"/>
        </w:rPr>
        <w:t>geografische verdeling</w:t>
      </w:r>
      <w:r w:rsidR="009A0AE0">
        <w:rPr>
          <w:rFonts w:ascii="Verdana" w:hAnsi="Verdana"/>
          <w:sz w:val="18"/>
          <w:szCs w:val="18"/>
        </w:rPr>
        <w:t xml:space="preserve"> en de diversiteit binnen de organisatie te verbeteren. In de categorieën professional en hoger was op 31 december 2015 41,8% van de stafmedewerkers met een langdurig contract vrouw. De WHO stelt zich ten doel om aan het einde van 2017 een ratio van 55% man en 45% vrouw te hebben.</w:t>
      </w:r>
      <w:r w:rsidR="009E2147">
        <w:rPr>
          <w:rFonts w:ascii="Verdana" w:hAnsi="Verdana"/>
          <w:sz w:val="18"/>
          <w:szCs w:val="18"/>
        </w:rPr>
        <w:t xml:space="preserve"> UN</w:t>
      </w:r>
      <w:r w:rsidR="001B0E4A">
        <w:rPr>
          <w:rFonts w:ascii="Verdana" w:hAnsi="Verdana"/>
          <w:sz w:val="18"/>
          <w:szCs w:val="18"/>
        </w:rPr>
        <w:t xml:space="preserve"> </w:t>
      </w:r>
      <w:proofErr w:type="spellStart"/>
      <w:r w:rsidR="009E2147">
        <w:rPr>
          <w:rFonts w:ascii="Verdana" w:hAnsi="Verdana"/>
          <w:sz w:val="18"/>
          <w:szCs w:val="18"/>
        </w:rPr>
        <w:t>Women</w:t>
      </w:r>
      <w:proofErr w:type="spellEnd"/>
      <w:r w:rsidR="009E2147">
        <w:rPr>
          <w:rFonts w:ascii="Verdana" w:hAnsi="Verdana"/>
          <w:sz w:val="18"/>
          <w:szCs w:val="18"/>
        </w:rPr>
        <w:t xml:space="preserve"> prijst de WHO om het beleid van het stellen van doelen voor het aannemen van vrouwen door individuele leidinggevenden</w:t>
      </w:r>
      <w:r w:rsidR="003E1BC8">
        <w:rPr>
          <w:rFonts w:ascii="Verdana" w:hAnsi="Verdana"/>
          <w:sz w:val="18"/>
          <w:szCs w:val="18"/>
        </w:rPr>
        <w:t xml:space="preserve"> in een recent rapport</w:t>
      </w:r>
      <w:r w:rsidR="009E2147">
        <w:rPr>
          <w:rFonts w:ascii="Verdana" w:hAnsi="Verdana"/>
          <w:sz w:val="18"/>
          <w:szCs w:val="18"/>
        </w:rPr>
        <w:t>.</w:t>
      </w:r>
      <w:r w:rsidR="009A0AE0">
        <w:rPr>
          <w:rFonts w:ascii="Verdana" w:hAnsi="Verdana"/>
          <w:sz w:val="18"/>
          <w:szCs w:val="18"/>
        </w:rPr>
        <w:t xml:space="preserve"> </w:t>
      </w:r>
    </w:p>
    <w:p w14:paraId="4074E889" w14:textId="1796B9BE" w:rsidR="00D00E5A" w:rsidRPr="003D3A8C" w:rsidRDefault="00063A00" w:rsidP="00D00E5A">
      <w:pPr>
        <w:pStyle w:val="PlainText"/>
        <w:rPr>
          <w:rFonts w:ascii="Verdana" w:hAnsi="Verdana"/>
          <w:sz w:val="18"/>
          <w:szCs w:val="18"/>
        </w:rPr>
      </w:pPr>
      <w:r w:rsidRPr="003D3A8C">
        <w:rPr>
          <w:rFonts w:ascii="Verdana" w:hAnsi="Verdana"/>
          <w:sz w:val="18"/>
          <w:szCs w:val="18"/>
        </w:rPr>
        <w:t xml:space="preserve">Qua regionale spreiding wordt nog 33% van de lidstaten van de WHO onder-gerepresenteerd. De WHO stelt zichzelf ten doel om eind 2017 dit terug te hebben gebracht tot 28%. </w:t>
      </w:r>
    </w:p>
    <w:p w14:paraId="4082ECF8" w14:textId="77777777" w:rsidR="00A33725" w:rsidRDefault="00A33725" w:rsidP="00C63761">
      <w:pPr>
        <w:pStyle w:val="PlainText"/>
        <w:rPr>
          <w:rFonts w:ascii="Verdana" w:hAnsi="Verdana"/>
          <w:sz w:val="18"/>
          <w:szCs w:val="18"/>
        </w:rPr>
      </w:pPr>
    </w:p>
    <w:p w14:paraId="600997B3" w14:textId="68E551E0" w:rsidR="00C9583F" w:rsidRPr="00363EB5" w:rsidRDefault="00056F25" w:rsidP="00C63761">
      <w:pPr>
        <w:pStyle w:val="PlainText"/>
        <w:rPr>
          <w:rFonts w:ascii="Verdana" w:hAnsi="Verdana"/>
          <w:sz w:val="18"/>
          <w:szCs w:val="18"/>
        </w:rPr>
      </w:pPr>
      <w:r>
        <w:rPr>
          <w:rFonts w:ascii="Verdana" w:hAnsi="Verdana"/>
          <w:sz w:val="18"/>
          <w:szCs w:val="18"/>
        </w:rPr>
        <w:t xml:space="preserve">Het personeel is hoogopgeleid. </w:t>
      </w:r>
      <w:r w:rsidR="00F538F9">
        <w:rPr>
          <w:rFonts w:ascii="Verdana" w:hAnsi="Verdana"/>
          <w:sz w:val="18"/>
          <w:szCs w:val="18"/>
        </w:rPr>
        <w:t>Er</w:t>
      </w:r>
      <w:r w:rsidR="00BB150F" w:rsidRPr="003D3A8C">
        <w:rPr>
          <w:rFonts w:ascii="Verdana" w:hAnsi="Verdana"/>
          <w:sz w:val="18"/>
          <w:szCs w:val="18"/>
        </w:rPr>
        <w:t xml:space="preserve"> werken veel professionals, vooral artsen. </w:t>
      </w:r>
      <w:r w:rsidR="00C9583F" w:rsidRPr="003D3A8C">
        <w:rPr>
          <w:rFonts w:ascii="Verdana" w:hAnsi="Verdana"/>
          <w:sz w:val="18"/>
          <w:szCs w:val="18"/>
        </w:rPr>
        <w:t>I</w:t>
      </w:r>
      <w:r w:rsidR="00D00E5A" w:rsidRPr="003D3A8C">
        <w:rPr>
          <w:rFonts w:ascii="Verdana" w:hAnsi="Verdana"/>
          <w:sz w:val="18"/>
          <w:szCs w:val="18"/>
        </w:rPr>
        <w:t xml:space="preserve">n </w:t>
      </w:r>
      <w:r w:rsidR="00C9583F" w:rsidRPr="003D3A8C">
        <w:rPr>
          <w:rFonts w:ascii="Verdana" w:hAnsi="Verdana"/>
          <w:sz w:val="18"/>
          <w:szCs w:val="18"/>
        </w:rPr>
        <w:t xml:space="preserve">2014 is een nieuw organisatorisch raamwerk geïntroduceerd om zorg te dragen voor het bijleren en </w:t>
      </w:r>
      <w:r w:rsidR="001B0E4A">
        <w:rPr>
          <w:rFonts w:ascii="Verdana" w:hAnsi="Verdana"/>
          <w:sz w:val="18"/>
          <w:szCs w:val="18"/>
        </w:rPr>
        <w:t xml:space="preserve">het </w:t>
      </w:r>
      <w:r w:rsidR="00C9583F" w:rsidRPr="003D3A8C">
        <w:rPr>
          <w:rFonts w:ascii="Verdana" w:hAnsi="Verdana"/>
          <w:sz w:val="18"/>
          <w:szCs w:val="18"/>
        </w:rPr>
        <w:t>zich</w:t>
      </w:r>
      <w:r w:rsidR="001B0E4A">
        <w:rPr>
          <w:rFonts w:ascii="Verdana" w:hAnsi="Verdana"/>
          <w:sz w:val="18"/>
          <w:szCs w:val="18"/>
        </w:rPr>
        <w:t xml:space="preserve"> blijven </w:t>
      </w:r>
      <w:r w:rsidR="00C9583F" w:rsidRPr="003D3A8C">
        <w:rPr>
          <w:rFonts w:ascii="Verdana" w:hAnsi="Verdana"/>
          <w:sz w:val="18"/>
          <w:szCs w:val="18"/>
        </w:rPr>
        <w:t xml:space="preserve">ontwikkelen van medewerkers als onderdeel van </w:t>
      </w:r>
      <w:r w:rsidR="001B0E4A">
        <w:rPr>
          <w:rFonts w:ascii="Verdana" w:hAnsi="Verdana"/>
          <w:sz w:val="18"/>
          <w:szCs w:val="18"/>
        </w:rPr>
        <w:t>de loopbaan</w:t>
      </w:r>
      <w:r w:rsidR="00C9583F" w:rsidRPr="003D3A8C">
        <w:rPr>
          <w:rFonts w:ascii="Verdana" w:hAnsi="Verdana"/>
          <w:sz w:val="18"/>
          <w:szCs w:val="18"/>
        </w:rPr>
        <w:t>ontwikkeling.</w:t>
      </w:r>
      <w:r w:rsidR="00D00E5A" w:rsidRPr="003D3A8C">
        <w:rPr>
          <w:rFonts w:ascii="Verdana" w:hAnsi="Verdana"/>
          <w:sz w:val="18"/>
          <w:szCs w:val="18"/>
        </w:rPr>
        <w:t xml:space="preserve"> </w:t>
      </w:r>
      <w:r w:rsidR="00C9583F" w:rsidRPr="003D3A8C">
        <w:rPr>
          <w:rFonts w:ascii="Verdana" w:hAnsi="Verdana"/>
          <w:sz w:val="18"/>
          <w:szCs w:val="18"/>
        </w:rPr>
        <w:t xml:space="preserve">Een herzien </w:t>
      </w:r>
      <w:r w:rsidR="00C9583F" w:rsidRPr="003D3A8C">
        <w:rPr>
          <w:rFonts w:ascii="Verdana" w:hAnsi="Verdana"/>
          <w:i/>
          <w:sz w:val="18"/>
          <w:szCs w:val="18"/>
        </w:rPr>
        <w:t xml:space="preserve">Performance Management </w:t>
      </w:r>
      <w:proofErr w:type="spellStart"/>
      <w:r w:rsidR="00C9583F" w:rsidRPr="003D3A8C">
        <w:rPr>
          <w:rFonts w:ascii="Verdana" w:hAnsi="Verdana"/>
          <w:i/>
          <w:sz w:val="18"/>
          <w:szCs w:val="18"/>
        </w:rPr>
        <w:t>and</w:t>
      </w:r>
      <w:proofErr w:type="spellEnd"/>
      <w:r w:rsidR="00C9583F" w:rsidRPr="003D3A8C">
        <w:rPr>
          <w:rFonts w:ascii="Verdana" w:hAnsi="Verdana"/>
          <w:i/>
          <w:sz w:val="18"/>
          <w:szCs w:val="18"/>
        </w:rPr>
        <w:t xml:space="preserve"> Development</w:t>
      </w:r>
      <w:r w:rsidR="00C9583F" w:rsidRPr="003D3A8C">
        <w:rPr>
          <w:rFonts w:ascii="Verdana" w:hAnsi="Verdana"/>
          <w:sz w:val="18"/>
          <w:szCs w:val="18"/>
        </w:rPr>
        <w:t xml:space="preserve"> systeem</w:t>
      </w:r>
      <w:r w:rsidR="003D3A8C" w:rsidRPr="003D3A8C">
        <w:rPr>
          <w:rFonts w:ascii="Verdana" w:hAnsi="Verdana"/>
          <w:sz w:val="18"/>
          <w:szCs w:val="18"/>
        </w:rPr>
        <w:t>,</w:t>
      </w:r>
      <w:r w:rsidR="00C9583F" w:rsidRPr="003D3A8C">
        <w:rPr>
          <w:rFonts w:ascii="Verdana" w:hAnsi="Verdana"/>
          <w:sz w:val="18"/>
          <w:szCs w:val="18"/>
        </w:rPr>
        <w:t xml:space="preserve"> </w:t>
      </w:r>
      <w:r w:rsidR="003D3A8C" w:rsidRPr="003D3A8C">
        <w:rPr>
          <w:rFonts w:ascii="Verdana" w:hAnsi="Verdana"/>
          <w:sz w:val="18"/>
          <w:szCs w:val="18"/>
        </w:rPr>
        <w:t xml:space="preserve">dat </w:t>
      </w:r>
      <w:r w:rsidR="00C9583F" w:rsidRPr="003D3A8C">
        <w:rPr>
          <w:rFonts w:ascii="Verdana" w:hAnsi="Verdana"/>
          <w:sz w:val="18"/>
          <w:szCs w:val="18"/>
        </w:rPr>
        <w:t>zorgt voor het vastleggen van het functioneren van WHO-medewerkers</w:t>
      </w:r>
      <w:r w:rsidR="003D3A8C" w:rsidRPr="003D3A8C">
        <w:rPr>
          <w:rFonts w:ascii="Verdana" w:hAnsi="Verdana"/>
          <w:sz w:val="18"/>
          <w:szCs w:val="18"/>
        </w:rPr>
        <w:t>,</w:t>
      </w:r>
      <w:r w:rsidR="00D00E5A" w:rsidRPr="003D3A8C">
        <w:rPr>
          <w:rFonts w:ascii="Verdana" w:hAnsi="Verdana"/>
          <w:sz w:val="18"/>
          <w:szCs w:val="18"/>
        </w:rPr>
        <w:t xml:space="preserve"> </w:t>
      </w:r>
      <w:r w:rsidR="003D3A8C" w:rsidRPr="003D3A8C">
        <w:rPr>
          <w:rFonts w:ascii="Verdana" w:hAnsi="Verdana"/>
          <w:sz w:val="18"/>
          <w:szCs w:val="18"/>
        </w:rPr>
        <w:t>is in 2015 ingevoerd. De vernieuwing heeft</w:t>
      </w:r>
      <w:r w:rsidR="00C9583F" w:rsidRPr="003D3A8C">
        <w:rPr>
          <w:rFonts w:ascii="Verdana" w:hAnsi="Verdana"/>
          <w:sz w:val="18"/>
          <w:szCs w:val="18"/>
        </w:rPr>
        <w:t xml:space="preserve"> ervoor</w:t>
      </w:r>
      <w:r w:rsidR="003D3A8C" w:rsidRPr="003D3A8C">
        <w:rPr>
          <w:rFonts w:ascii="Verdana" w:hAnsi="Verdana"/>
          <w:sz w:val="18"/>
          <w:szCs w:val="18"/>
        </w:rPr>
        <w:t xml:space="preserve"> gezorgd</w:t>
      </w:r>
      <w:r w:rsidR="00C9583F" w:rsidRPr="003D3A8C">
        <w:rPr>
          <w:rFonts w:ascii="Verdana" w:hAnsi="Verdana"/>
          <w:sz w:val="18"/>
          <w:szCs w:val="18"/>
        </w:rPr>
        <w:t xml:space="preserve"> dat er een betere link is tussen de beoordeling en mogelijke consequenties.</w:t>
      </w:r>
      <w:r w:rsidR="00014D55" w:rsidRPr="003D3A8C">
        <w:rPr>
          <w:rFonts w:ascii="Verdana" w:hAnsi="Verdana"/>
          <w:sz w:val="18"/>
          <w:szCs w:val="18"/>
        </w:rPr>
        <w:t xml:space="preserve"> De interne auditor geeft echter wel aan dat er nog onvoldoende systematische beoordeling van de prestaties van de medewerkers en consultants plaatsvindt.</w:t>
      </w:r>
    </w:p>
    <w:p w14:paraId="6B0D9640" w14:textId="77777777" w:rsidR="002A310E" w:rsidRDefault="002A310E" w:rsidP="003266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2A310E" w:rsidRPr="00EA0AA8" w14:paraId="5CD2399C" w14:textId="77777777" w:rsidTr="00B06CE6">
        <w:tc>
          <w:tcPr>
            <w:tcW w:w="6912" w:type="dxa"/>
            <w:tcBorders>
              <w:top w:val="single" w:sz="12" w:space="0" w:color="auto"/>
              <w:left w:val="single" w:sz="12" w:space="0" w:color="auto"/>
              <w:bottom w:val="single" w:sz="12" w:space="0" w:color="auto"/>
            </w:tcBorders>
            <w:shd w:val="clear" w:color="auto" w:fill="D0CECE"/>
          </w:tcPr>
          <w:p w14:paraId="034A087E" w14:textId="77777777" w:rsidR="002A310E" w:rsidRPr="00EA0AA8" w:rsidRDefault="002A310E"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4A348B56" w14:textId="77777777" w:rsidR="002A310E" w:rsidRPr="00EA0AA8" w:rsidRDefault="002A310E" w:rsidP="00382AE3">
            <w:pPr>
              <w:rPr>
                <w:b/>
              </w:rPr>
            </w:pPr>
            <w:r w:rsidRPr="00EA0AA8">
              <w:rPr>
                <w:b/>
              </w:rPr>
              <w:t>Score</w:t>
            </w:r>
          </w:p>
        </w:tc>
      </w:tr>
      <w:tr w:rsidR="002A310E" w14:paraId="382275C1" w14:textId="77777777" w:rsidTr="00382AE3">
        <w:tc>
          <w:tcPr>
            <w:tcW w:w="6912" w:type="dxa"/>
            <w:tcBorders>
              <w:top w:val="single" w:sz="12" w:space="0" w:color="auto"/>
              <w:left w:val="single" w:sz="12" w:space="0" w:color="auto"/>
            </w:tcBorders>
            <w:shd w:val="clear" w:color="auto" w:fill="auto"/>
          </w:tcPr>
          <w:p w14:paraId="07F8FE93" w14:textId="77777777" w:rsidR="002A310E" w:rsidRDefault="00B52E2F" w:rsidP="00382AE3">
            <w:r>
              <w:t xml:space="preserve">Mobiliteit </w:t>
            </w:r>
          </w:p>
        </w:tc>
        <w:tc>
          <w:tcPr>
            <w:tcW w:w="955" w:type="dxa"/>
            <w:tcBorders>
              <w:top w:val="single" w:sz="12" w:space="0" w:color="auto"/>
              <w:right w:val="single" w:sz="12" w:space="0" w:color="auto"/>
            </w:tcBorders>
            <w:shd w:val="clear" w:color="auto" w:fill="auto"/>
          </w:tcPr>
          <w:p w14:paraId="764B0C44" w14:textId="77777777" w:rsidR="002A310E" w:rsidRDefault="00755F4C" w:rsidP="00382AE3">
            <w:r>
              <w:t>3</w:t>
            </w:r>
          </w:p>
        </w:tc>
      </w:tr>
      <w:tr w:rsidR="002A310E" w14:paraId="51974142" w14:textId="77777777" w:rsidTr="00382AE3">
        <w:tc>
          <w:tcPr>
            <w:tcW w:w="6912" w:type="dxa"/>
            <w:tcBorders>
              <w:left w:val="single" w:sz="12" w:space="0" w:color="auto"/>
            </w:tcBorders>
            <w:shd w:val="clear" w:color="auto" w:fill="auto"/>
          </w:tcPr>
          <w:p w14:paraId="1D0C3A11" w14:textId="77777777" w:rsidR="002A310E" w:rsidRDefault="00B52E2F" w:rsidP="00B52E2F">
            <w:r>
              <w:t xml:space="preserve">Kwaliteit </w:t>
            </w:r>
          </w:p>
        </w:tc>
        <w:tc>
          <w:tcPr>
            <w:tcW w:w="955" w:type="dxa"/>
            <w:tcBorders>
              <w:right w:val="single" w:sz="12" w:space="0" w:color="auto"/>
            </w:tcBorders>
            <w:shd w:val="clear" w:color="auto" w:fill="auto"/>
          </w:tcPr>
          <w:p w14:paraId="791C668E" w14:textId="77777777" w:rsidR="002A310E" w:rsidRDefault="003B1664" w:rsidP="00382AE3">
            <w:r>
              <w:t>4</w:t>
            </w:r>
          </w:p>
        </w:tc>
      </w:tr>
      <w:tr w:rsidR="002A310E" w14:paraId="3D3E4AE1" w14:textId="77777777" w:rsidTr="00382AE3">
        <w:tc>
          <w:tcPr>
            <w:tcW w:w="6912" w:type="dxa"/>
            <w:tcBorders>
              <w:left w:val="single" w:sz="12" w:space="0" w:color="auto"/>
            </w:tcBorders>
            <w:shd w:val="clear" w:color="auto" w:fill="auto"/>
          </w:tcPr>
          <w:p w14:paraId="32AF5B91" w14:textId="77777777" w:rsidR="002A310E" w:rsidRDefault="00B52E2F" w:rsidP="00382AE3">
            <w:r>
              <w:t>Diversiteit</w:t>
            </w:r>
          </w:p>
        </w:tc>
        <w:tc>
          <w:tcPr>
            <w:tcW w:w="955" w:type="dxa"/>
            <w:tcBorders>
              <w:right w:val="single" w:sz="12" w:space="0" w:color="auto"/>
            </w:tcBorders>
            <w:shd w:val="clear" w:color="auto" w:fill="auto"/>
          </w:tcPr>
          <w:p w14:paraId="0C58944F" w14:textId="77777777" w:rsidR="002A310E" w:rsidRDefault="00755F4C" w:rsidP="00382AE3">
            <w:r>
              <w:t>3</w:t>
            </w:r>
          </w:p>
        </w:tc>
      </w:tr>
      <w:tr w:rsidR="002A310E" w14:paraId="2F71218F" w14:textId="77777777" w:rsidTr="00382AE3">
        <w:tc>
          <w:tcPr>
            <w:tcW w:w="6912" w:type="dxa"/>
            <w:tcBorders>
              <w:left w:val="single" w:sz="12" w:space="0" w:color="auto"/>
              <w:bottom w:val="single" w:sz="12" w:space="0" w:color="auto"/>
            </w:tcBorders>
            <w:shd w:val="clear" w:color="auto" w:fill="auto"/>
          </w:tcPr>
          <w:p w14:paraId="19CB6BB6" w14:textId="77777777" w:rsidR="002A310E" w:rsidRDefault="00B52E2F" w:rsidP="00382AE3">
            <w:r>
              <w:t>Genderbalans</w:t>
            </w:r>
          </w:p>
        </w:tc>
        <w:tc>
          <w:tcPr>
            <w:tcW w:w="955" w:type="dxa"/>
            <w:tcBorders>
              <w:bottom w:val="single" w:sz="12" w:space="0" w:color="auto"/>
              <w:right w:val="single" w:sz="12" w:space="0" w:color="auto"/>
            </w:tcBorders>
            <w:shd w:val="clear" w:color="auto" w:fill="auto"/>
          </w:tcPr>
          <w:p w14:paraId="2BEFF405" w14:textId="77777777" w:rsidR="002A310E" w:rsidRDefault="00BB1AF4" w:rsidP="00382AE3">
            <w:r>
              <w:t>4</w:t>
            </w:r>
          </w:p>
        </w:tc>
      </w:tr>
      <w:tr w:rsidR="002A310E" w:rsidRPr="00EA0AA8" w14:paraId="183D33D9" w14:textId="77777777" w:rsidTr="00B06CE6">
        <w:tc>
          <w:tcPr>
            <w:tcW w:w="6912" w:type="dxa"/>
            <w:tcBorders>
              <w:top w:val="single" w:sz="12" w:space="0" w:color="auto"/>
              <w:left w:val="single" w:sz="12" w:space="0" w:color="auto"/>
              <w:bottom w:val="single" w:sz="12" w:space="0" w:color="auto"/>
            </w:tcBorders>
            <w:shd w:val="clear" w:color="auto" w:fill="D0CECE"/>
          </w:tcPr>
          <w:p w14:paraId="22213834" w14:textId="77777777" w:rsidR="002A310E" w:rsidRPr="00EA0AA8" w:rsidRDefault="002A310E"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6F75E0C7" w14:textId="77777777" w:rsidR="002A310E" w:rsidRPr="00EA0AA8" w:rsidRDefault="00BB1AF4" w:rsidP="00382AE3">
            <w:pPr>
              <w:rPr>
                <w:b/>
              </w:rPr>
            </w:pPr>
            <w:r>
              <w:rPr>
                <w:b/>
              </w:rPr>
              <w:t>4</w:t>
            </w:r>
          </w:p>
        </w:tc>
      </w:tr>
    </w:tbl>
    <w:p w14:paraId="7EFAC18D" w14:textId="77777777" w:rsidR="002A310E" w:rsidRDefault="002A310E" w:rsidP="00326699"/>
    <w:p w14:paraId="74E0477D" w14:textId="32C5856C" w:rsidR="00D32F98" w:rsidRDefault="00D32F98" w:rsidP="00784329">
      <w:pPr>
        <w:ind w:firstLine="227"/>
      </w:pPr>
      <w:r w:rsidRPr="00193994">
        <w:t>Ver</w:t>
      </w:r>
      <w:r>
        <w:t>andering sinds 2015: positief</w:t>
      </w:r>
      <w:r w:rsidRPr="00193994">
        <w:t xml:space="preserve"> =</w:t>
      </w:r>
      <w:r w:rsidR="00AE6CA2">
        <w:t xml:space="preserve"> </w:t>
      </w:r>
      <w:r w:rsidRPr="00193994">
        <w:sym w:font="Wingdings" w:char="F0E9"/>
      </w:r>
    </w:p>
    <w:p w14:paraId="5E9C4ED5" w14:textId="77777777" w:rsidR="00C661FC" w:rsidRDefault="00C661FC" w:rsidP="00784329">
      <w:pPr>
        <w:ind w:firstLine="227"/>
        <w:rPr>
          <w:b/>
        </w:rPr>
      </w:pPr>
    </w:p>
    <w:p w14:paraId="186090DF" w14:textId="54518E6E" w:rsidR="00C661FC" w:rsidRPr="00C661FC" w:rsidRDefault="00784329" w:rsidP="00C661FC">
      <w:pPr>
        <w:pStyle w:val="Heading2"/>
        <w:tabs>
          <w:tab w:val="left" w:pos="-1162"/>
          <w:tab w:val="left" w:pos="0"/>
          <w:tab w:val="num" w:pos="1160"/>
        </w:tabs>
        <w:spacing w:line="240" w:lineRule="auto"/>
        <w:ind w:hanging="1162"/>
      </w:pPr>
      <w:bookmarkStart w:id="42" w:name="_Toc491421108"/>
      <w:r>
        <w:lastRenderedPageBreak/>
        <w:t>4</w:t>
      </w:r>
      <w:r w:rsidR="00326699">
        <w:t>.</w:t>
      </w:r>
      <w:r w:rsidR="00A74DEC">
        <w:t>7</w:t>
      </w:r>
      <w:r w:rsidR="004D372F" w:rsidRPr="004D372F">
        <w:t xml:space="preserve"> </w:t>
      </w:r>
      <w:r w:rsidR="004D372F">
        <w:tab/>
      </w:r>
      <w:r w:rsidR="00DE343C" w:rsidRPr="004D372F">
        <w:t xml:space="preserve">Financiële </w:t>
      </w:r>
      <w:r w:rsidR="00DB7D94">
        <w:t>stabiliteit</w:t>
      </w:r>
      <w:bookmarkEnd w:id="42"/>
    </w:p>
    <w:p w14:paraId="6E3F6422" w14:textId="26A4D8A2" w:rsidR="003A4948" w:rsidRDefault="00FB2FD5" w:rsidP="003A4948">
      <w:r>
        <w:t xml:space="preserve">De </w:t>
      </w:r>
      <w:r w:rsidR="002902F6">
        <w:t xml:space="preserve">algehele </w:t>
      </w:r>
      <w:r>
        <w:t xml:space="preserve">financiële </w:t>
      </w:r>
      <w:r w:rsidR="00EC673F">
        <w:t>positie van de WHO is</w:t>
      </w:r>
      <w:r>
        <w:t xml:space="preserve"> kwetsbaar. De </w:t>
      </w:r>
      <w:r w:rsidR="00AC276A">
        <w:t xml:space="preserve">organisatie </w:t>
      </w:r>
      <w:r>
        <w:t xml:space="preserve">is </w:t>
      </w:r>
      <w:r w:rsidR="00AC276A">
        <w:t xml:space="preserve">voor 71% van de bijdragen </w:t>
      </w:r>
      <w:r>
        <w:t xml:space="preserve">afhankelijk </w:t>
      </w:r>
      <w:r w:rsidR="003E1BC8">
        <w:t>van 10 donoren</w:t>
      </w:r>
      <w:r>
        <w:t xml:space="preserve">. </w:t>
      </w:r>
      <w:r w:rsidR="00EC673F">
        <w:t xml:space="preserve">Het grote percentage </w:t>
      </w:r>
      <w:r w:rsidR="00984A34">
        <w:rPr>
          <w:i/>
        </w:rPr>
        <w:t>non-</w:t>
      </w:r>
      <w:proofErr w:type="spellStart"/>
      <w:r w:rsidR="00984A34">
        <w:rPr>
          <w:i/>
        </w:rPr>
        <w:t>core</w:t>
      </w:r>
      <w:proofErr w:type="spellEnd"/>
      <w:r w:rsidR="00984A34">
        <w:rPr>
          <w:i/>
        </w:rPr>
        <w:t xml:space="preserve"> </w:t>
      </w:r>
      <w:r w:rsidR="00EC673F">
        <w:t>bijdragen zorgen er voor dat de WHO in geval van een noodsituatie niet kan schuiven binnen de begroting om tijdig te interveniëren.</w:t>
      </w:r>
      <w:r w:rsidR="003A4948" w:rsidRPr="003A4948">
        <w:t xml:space="preserve"> </w:t>
      </w:r>
      <w:r w:rsidR="003E1BC8">
        <w:t>Daarnaast betalen v</w:t>
      </w:r>
      <w:r w:rsidR="003A4948">
        <w:t xml:space="preserve">eel donoren hun vrijwillige bijdragen </w:t>
      </w:r>
      <w:r w:rsidR="003E1BC8">
        <w:t xml:space="preserve">pas </w:t>
      </w:r>
      <w:r w:rsidR="003A4948">
        <w:t xml:space="preserve">laat in het jaar. Dit schept onzekerheid voor </w:t>
      </w:r>
      <w:proofErr w:type="spellStart"/>
      <w:r w:rsidR="003A4948">
        <w:t>WHO’s</w:t>
      </w:r>
      <w:proofErr w:type="spellEnd"/>
      <w:r w:rsidR="003A4948">
        <w:t xml:space="preserve"> liquiditeitspositie.</w:t>
      </w:r>
      <w:r w:rsidR="00E5047E">
        <w:t xml:space="preserve"> </w:t>
      </w:r>
      <w:r w:rsidR="003E1BC8">
        <w:t>Verder wordt</w:t>
      </w:r>
      <w:r w:rsidR="00E5047E">
        <w:t xml:space="preserve"> door het </w:t>
      </w:r>
      <w:r w:rsidR="00E5047E" w:rsidRPr="00045455">
        <w:rPr>
          <w:i/>
        </w:rPr>
        <w:t xml:space="preserve">Independent Expert </w:t>
      </w:r>
      <w:proofErr w:type="spellStart"/>
      <w:r w:rsidR="00E5047E" w:rsidRPr="00045455">
        <w:rPr>
          <w:i/>
        </w:rPr>
        <w:t>Oversight</w:t>
      </w:r>
      <w:proofErr w:type="spellEnd"/>
      <w:r w:rsidR="00E5047E" w:rsidRPr="00045455">
        <w:rPr>
          <w:i/>
        </w:rPr>
        <w:t xml:space="preserve"> </w:t>
      </w:r>
      <w:proofErr w:type="spellStart"/>
      <w:r w:rsidR="00E5047E" w:rsidRPr="00045455">
        <w:rPr>
          <w:i/>
        </w:rPr>
        <w:t>Advisory</w:t>
      </w:r>
      <w:proofErr w:type="spellEnd"/>
      <w:r w:rsidR="00E5047E" w:rsidRPr="00045455">
        <w:rPr>
          <w:i/>
        </w:rPr>
        <w:t xml:space="preserve"> </w:t>
      </w:r>
      <w:proofErr w:type="spellStart"/>
      <w:r w:rsidR="00E5047E" w:rsidRPr="00045455">
        <w:rPr>
          <w:i/>
        </w:rPr>
        <w:t>Committee</w:t>
      </w:r>
      <w:proofErr w:type="spellEnd"/>
      <w:r w:rsidR="00E5047E">
        <w:t xml:space="preserve"> (IEOAC) gesignaleerd dat de ziektekosten voor pensioengerechtigde werknemers sterk </w:t>
      </w:r>
      <w:r w:rsidR="003E1BC8">
        <w:t xml:space="preserve">stijgen, wat een bedreiging vormt </w:t>
      </w:r>
      <w:r w:rsidR="00315F83">
        <w:t xml:space="preserve">in de toekomst </w:t>
      </w:r>
      <w:r w:rsidR="003E1BC8">
        <w:t>voor de financiële positie van</w:t>
      </w:r>
      <w:r w:rsidR="00E5047E">
        <w:t xml:space="preserve"> het ziektekostenplan van de WHO.</w:t>
      </w:r>
    </w:p>
    <w:p w14:paraId="01FD196A" w14:textId="77777777" w:rsidR="00D14DCE" w:rsidRDefault="00D14DCE" w:rsidP="003A4948"/>
    <w:p w14:paraId="4665F48F" w14:textId="2890ADD8" w:rsidR="00D14DCE" w:rsidRDefault="00D14DCE" w:rsidP="003A4948">
      <w:r>
        <w:t xml:space="preserve">Wegens succes op het gebied van uitroeien van polio zal het </w:t>
      </w:r>
      <w:proofErr w:type="spellStart"/>
      <w:r>
        <w:t>het</w:t>
      </w:r>
      <w:proofErr w:type="spellEnd"/>
      <w:r>
        <w:t xml:space="preserve"> </w:t>
      </w:r>
      <w:r w:rsidRPr="00546466">
        <w:rPr>
          <w:i/>
        </w:rPr>
        <w:t xml:space="preserve">Polio </w:t>
      </w:r>
      <w:proofErr w:type="spellStart"/>
      <w:r w:rsidRPr="00546466">
        <w:rPr>
          <w:i/>
        </w:rPr>
        <w:t>Eradication</w:t>
      </w:r>
      <w:proofErr w:type="spellEnd"/>
      <w:r w:rsidR="00546466">
        <w:t xml:space="preserve"> </w:t>
      </w:r>
      <w:proofErr w:type="spellStart"/>
      <w:r w:rsidR="00546466" w:rsidRPr="00546466">
        <w:rPr>
          <w:i/>
        </w:rPr>
        <w:t>Programme</w:t>
      </w:r>
      <w:proofErr w:type="spellEnd"/>
      <w:r w:rsidRPr="00546466">
        <w:rPr>
          <w:i/>
        </w:rPr>
        <w:t xml:space="preserve"> </w:t>
      </w:r>
      <w:r>
        <w:t xml:space="preserve">aflopen in 2019-2020. </w:t>
      </w:r>
      <w:r w:rsidR="00513860">
        <w:t xml:space="preserve">Dit zal financiële, organisatorische en personele risico’s met zich meebrengen want in 2016 waren de inkomsten voor het polio programma goed voor 27% van het budget. Ook is een deel van het personeel in vaste dienst. </w:t>
      </w:r>
      <w:r w:rsidR="00513860" w:rsidRPr="00546466">
        <w:rPr>
          <w:i/>
        </w:rPr>
        <w:t xml:space="preserve">Polio </w:t>
      </w:r>
      <w:proofErr w:type="spellStart"/>
      <w:r w:rsidR="00513860" w:rsidRPr="00546466">
        <w:rPr>
          <w:i/>
        </w:rPr>
        <w:t>Transition</w:t>
      </w:r>
      <w:proofErr w:type="spellEnd"/>
      <w:r w:rsidR="00513860" w:rsidRPr="00546466">
        <w:rPr>
          <w:i/>
        </w:rPr>
        <w:t xml:space="preserve"> Planning</w:t>
      </w:r>
      <w:r w:rsidR="00513860">
        <w:t xml:space="preserve"> rapport beschrijft de risico’s en is tijdens de World Health Assembly in mei 2017 voorgelegd aan de lidstaten. Besloten is dat het Secretariaat een verder uitgewerkt plan aan de World Health Assembly van mei 2018 zal voorleggen via de Uitvoerende Raad van januari 2018.</w:t>
      </w:r>
    </w:p>
    <w:p w14:paraId="1A2E5B9C" w14:textId="77777777" w:rsidR="000B3C45" w:rsidRDefault="000B3C45" w:rsidP="003A4948"/>
    <w:p w14:paraId="7432B61E" w14:textId="0B9FCDD2" w:rsidR="00130F41" w:rsidRDefault="00712D6F" w:rsidP="00130F41">
      <w:r>
        <w:t xml:space="preserve">Om inzicht te geven in de financiële situatie van de WHO is een </w:t>
      </w:r>
      <w:proofErr w:type="spellStart"/>
      <w:r>
        <w:t>webportal</w:t>
      </w:r>
      <w:proofErr w:type="spellEnd"/>
      <w:r>
        <w:t xml:space="preserve"> opgezet voor donoren met open toegang tot resultaten en andere programmatische, budgettaire en financiële informatie. </w:t>
      </w:r>
      <w:r w:rsidR="00AB7C78">
        <w:t>In 2014-2015 werd verder voor het eerst een gecombineerd rapport uitgebracht met daarin de financiële verantwoording over 2015 en het jaarverslag die werden vergeleken met het programma budget van 2014-2015.</w:t>
      </w:r>
    </w:p>
    <w:p w14:paraId="5881923D" w14:textId="77777777" w:rsidR="00AC276A" w:rsidRDefault="00AC276A" w:rsidP="00130F41"/>
    <w:p w14:paraId="7DD409F2" w14:textId="02D811C4" w:rsidR="00130F41" w:rsidRDefault="003E1BC8" w:rsidP="00130F41">
      <w:r>
        <w:t>Er waren</w:t>
      </w:r>
      <w:r w:rsidR="006D094E">
        <w:t xml:space="preserve"> </w:t>
      </w:r>
      <w:r w:rsidR="00130F41">
        <w:t>zorgen over het gebrek aan personele capaciteit bij de i</w:t>
      </w:r>
      <w:r>
        <w:t xml:space="preserve">nterne auditor. In 2015 zijn </w:t>
      </w:r>
      <w:r w:rsidR="00130F41">
        <w:t xml:space="preserve">daarom </w:t>
      </w:r>
      <w:r w:rsidR="00AC276A">
        <w:t>vijf</w:t>
      </w:r>
      <w:r w:rsidR="00130F41">
        <w:t xml:space="preserve"> extra medewer</w:t>
      </w:r>
      <w:r>
        <w:t xml:space="preserve">kers aangenomen en zijn </w:t>
      </w:r>
      <w:r w:rsidR="00130F41">
        <w:t xml:space="preserve">niet opgevulde vacatures opengesteld. De interne auditor geeft aan over voldoende financiering te beschikken om haar werk te </w:t>
      </w:r>
      <w:r w:rsidR="00AC276A">
        <w:t xml:space="preserve">kunnen </w:t>
      </w:r>
      <w:r w:rsidR="00130F41">
        <w:t>doen.</w:t>
      </w:r>
      <w:r w:rsidR="00013045">
        <w:t xml:space="preserve"> </w:t>
      </w:r>
      <w:r w:rsidR="00B0752D">
        <w:t>Ook h</w:t>
      </w:r>
      <w:r w:rsidR="00E5047E">
        <w:t>et IEOAC</w:t>
      </w:r>
      <w:r w:rsidR="00013045">
        <w:t xml:space="preserve"> functioneert goed</w:t>
      </w:r>
      <w:r w:rsidR="00FA0CF9">
        <w:t xml:space="preserve"> en brengt jaarlijks een rapport uit die tijdens de PBAC wordt besproken</w:t>
      </w:r>
      <w:r w:rsidR="00013045">
        <w:t>.</w:t>
      </w:r>
    </w:p>
    <w:p w14:paraId="4A8E764F" w14:textId="72637327" w:rsidR="00C9583F" w:rsidRPr="00363EB5" w:rsidRDefault="00850D4B" w:rsidP="00C9583F">
      <w:pPr>
        <w:rPr>
          <w:color w:val="FF0000"/>
        </w:rPr>
      </w:pPr>
      <w:r>
        <w:t xml:space="preserve">De externe auditor </w:t>
      </w:r>
      <w:r w:rsidR="00D05861">
        <w:t xml:space="preserve">geeft in haar rapport aanbevelingen om de efficiëntie en effectiviteit van het management te verbeteren, om de </w:t>
      </w:r>
      <w:r w:rsidR="00D05861" w:rsidRPr="00F32F5B">
        <w:rPr>
          <w:i/>
        </w:rPr>
        <w:t>accountability</w:t>
      </w:r>
      <w:r w:rsidR="00D05861">
        <w:t xml:space="preserve"> en transparantie te vergroten en om het financieel management en de </w:t>
      </w:r>
      <w:proofErr w:type="spellStart"/>
      <w:r w:rsidR="00D05861" w:rsidRPr="00F32F5B">
        <w:rPr>
          <w:i/>
        </w:rPr>
        <w:t>governance</w:t>
      </w:r>
      <w:proofErr w:type="spellEnd"/>
      <w:r w:rsidR="00D05861">
        <w:t xml:space="preserve"> van de WHO te versterken. </w:t>
      </w:r>
    </w:p>
    <w:p w14:paraId="565D9608" w14:textId="77777777" w:rsidR="002A310E" w:rsidRDefault="002A310E" w:rsidP="00DE34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2A310E" w:rsidRPr="00EA0AA8" w14:paraId="5AEA2892" w14:textId="77777777" w:rsidTr="00B06CE6">
        <w:tc>
          <w:tcPr>
            <w:tcW w:w="6912" w:type="dxa"/>
            <w:tcBorders>
              <w:top w:val="single" w:sz="12" w:space="0" w:color="auto"/>
              <w:left w:val="single" w:sz="12" w:space="0" w:color="auto"/>
              <w:bottom w:val="single" w:sz="12" w:space="0" w:color="auto"/>
            </w:tcBorders>
            <w:shd w:val="clear" w:color="auto" w:fill="D0CECE"/>
          </w:tcPr>
          <w:p w14:paraId="5F5188DF" w14:textId="77777777" w:rsidR="002A310E" w:rsidRPr="00EA0AA8" w:rsidRDefault="002A310E"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55FCB64A" w14:textId="77777777" w:rsidR="002A310E" w:rsidRPr="00EA0AA8" w:rsidRDefault="002A310E" w:rsidP="00382AE3">
            <w:pPr>
              <w:rPr>
                <w:b/>
              </w:rPr>
            </w:pPr>
            <w:r w:rsidRPr="00EA0AA8">
              <w:rPr>
                <w:b/>
              </w:rPr>
              <w:t>Score</w:t>
            </w:r>
          </w:p>
        </w:tc>
      </w:tr>
      <w:tr w:rsidR="002A310E" w14:paraId="3893232B" w14:textId="77777777" w:rsidTr="00382AE3">
        <w:tc>
          <w:tcPr>
            <w:tcW w:w="6912" w:type="dxa"/>
            <w:tcBorders>
              <w:top w:val="single" w:sz="12" w:space="0" w:color="auto"/>
              <w:left w:val="single" w:sz="12" w:space="0" w:color="auto"/>
            </w:tcBorders>
            <w:shd w:val="clear" w:color="auto" w:fill="auto"/>
          </w:tcPr>
          <w:p w14:paraId="64235442" w14:textId="77777777" w:rsidR="002A310E" w:rsidRDefault="00927293" w:rsidP="00927293">
            <w:r>
              <w:t>Verhouding goedgekeurde begroting / ontvangen bijdragen</w:t>
            </w:r>
          </w:p>
        </w:tc>
        <w:tc>
          <w:tcPr>
            <w:tcW w:w="955" w:type="dxa"/>
            <w:tcBorders>
              <w:top w:val="single" w:sz="12" w:space="0" w:color="auto"/>
              <w:right w:val="single" w:sz="12" w:space="0" w:color="auto"/>
            </w:tcBorders>
            <w:shd w:val="clear" w:color="auto" w:fill="auto"/>
          </w:tcPr>
          <w:p w14:paraId="3A646568" w14:textId="77777777" w:rsidR="002A310E" w:rsidRDefault="002668D1" w:rsidP="002668D1">
            <w:r>
              <w:t>3</w:t>
            </w:r>
          </w:p>
        </w:tc>
      </w:tr>
      <w:tr w:rsidR="002A310E" w14:paraId="29B8BDAD" w14:textId="77777777" w:rsidTr="00382AE3">
        <w:tc>
          <w:tcPr>
            <w:tcW w:w="6912" w:type="dxa"/>
            <w:tcBorders>
              <w:left w:val="single" w:sz="12" w:space="0" w:color="auto"/>
            </w:tcBorders>
            <w:shd w:val="clear" w:color="auto" w:fill="auto"/>
          </w:tcPr>
          <w:p w14:paraId="7FB90108" w14:textId="77777777" w:rsidR="002A310E" w:rsidRDefault="00927293" w:rsidP="00382AE3">
            <w:r>
              <w:t>Liquiditeitspositie en/of solvabiliteitspositie</w:t>
            </w:r>
          </w:p>
        </w:tc>
        <w:tc>
          <w:tcPr>
            <w:tcW w:w="955" w:type="dxa"/>
            <w:tcBorders>
              <w:right w:val="single" w:sz="12" w:space="0" w:color="auto"/>
            </w:tcBorders>
            <w:shd w:val="clear" w:color="auto" w:fill="auto"/>
          </w:tcPr>
          <w:p w14:paraId="77699CFE" w14:textId="77777777" w:rsidR="002A310E" w:rsidRDefault="003F71E4" w:rsidP="00382AE3">
            <w:r>
              <w:t>2</w:t>
            </w:r>
          </w:p>
        </w:tc>
      </w:tr>
      <w:tr w:rsidR="002A310E" w14:paraId="2DA1A71F" w14:textId="77777777" w:rsidTr="00382AE3">
        <w:tc>
          <w:tcPr>
            <w:tcW w:w="6912" w:type="dxa"/>
            <w:tcBorders>
              <w:left w:val="single" w:sz="12" w:space="0" w:color="auto"/>
            </w:tcBorders>
            <w:shd w:val="clear" w:color="auto" w:fill="auto"/>
          </w:tcPr>
          <w:p w14:paraId="2F516400" w14:textId="77777777" w:rsidR="002A310E" w:rsidRDefault="00927293" w:rsidP="00382AE3">
            <w:r>
              <w:t>Interne auditfunctie</w:t>
            </w:r>
          </w:p>
        </w:tc>
        <w:tc>
          <w:tcPr>
            <w:tcW w:w="955" w:type="dxa"/>
            <w:tcBorders>
              <w:right w:val="single" w:sz="12" w:space="0" w:color="auto"/>
            </w:tcBorders>
            <w:shd w:val="clear" w:color="auto" w:fill="auto"/>
          </w:tcPr>
          <w:p w14:paraId="607618C8" w14:textId="77777777" w:rsidR="002A310E" w:rsidRDefault="003F71E4" w:rsidP="00382AE3">
            <w:r>
              <w:t>3</w:t>
            </w:r>
          </w:p>
        </w:tc>
      </w:tr>
      <w:tr w:rsidR="00927293" w14:paraId="7514D589" w14:textId="77777777" w:rsidTr="00382AE3">
        <w:tc>
          <w:tcPr>
            <w:tcW w:w="6912" w:type="dxa"/>
            <w:tcBorders>
              <w:left w:val="single" w:sz="12" w:space="0" w:color="auto"/>
            </w:tcBorders>
            <w:shd w:val="clear" w:color="auto" w:fill="auto"/>
          </w:tcPr>
          <w:p w14:paraId="2D950A68" w14:textId="77777777" w:rsidR="00927293" w:rsidRDefault="00927293" w:rsidP="00382AE3">
            <w:r>
              <w:t>Kwaliteit rapportages</w:t>
            </w:r>
          </w:p>
        </w:tc>
        <w:tc>
          <w:tcPr>
            <w:tcW w:w="955" w:type="dxa"/>
            <w:tcBorders>
              <w:right w:val="single" w:sz="12" w:space="0" w:color="auto"/>
            </w:tcBorders>
            <w:shd w:val="clear" w:color="auto" w:fill="auto"/>
          </w:tcPr>
          <w:p w14:paraId="49BD0FD2" w14:textId="77777777" w:rsidR="00927293" w:rsidRDefault="002668D1" w:rsidP="002668D1">
            <w:r>
              <w:t>4</w:t>
            </w:r>
          </w:p>
        </w:tc>
      </w:tr>
      <w:tr w:rsidR="00927293" w14:paraId="32155986" w14:textId="77777777" w:rsidTr="00382AE3">
        <w:tc>
          <w:tcPr>
            <w:tcW w:w="6912" w:type="dxa"/>
            <w:tcBorders>
              <w:left w:val="single" w:sz="12" w:space="0" w:color="auto"/>
            </w:tcBorders>
            <w:shd w:val="clear" w:color="auto" w:fill="auto"/>
          </w:tcPr>
          <w:p w14:paraId="3B50D857" w14:textId="77777777" w:rsidR="00927293" w:rsidRDefault="00927293" w:rsidP="00382AE3">
            <w:r>
              <w:t>Samenhang tussen inhoudelijke en financiële rapportages</w:t>
            </w:r>
          </w:p>
        </w:tc>
        <w:tc>
          <w:tcPr>
            <w:tcW w:w="955" w:type="dxa"/>
            <w:tcBorders>
              <w:right w:val="single" w:sz="12" w:space="0" w:color="auto"/>
            </w:tcBorders>
            <w:shd w:val="clear" w:color="auto" w:fill="auto"/>
          </w:tcPr>
          <w:p w14:paraId="278846EA" w14:textId="77777777" w:rsidR="00927293" w:rsidRDefault="00E93E0F" w:rsidP="00382AE3">
            <w:r>
              <w:t>3</w:t>
            </w:r>
          </w:p>
        </w:tc>
      </w:tr>
      <w:tr w:rsidR="002A310E" w:rsidRPr="00EA0AA8" w14:paraId="028B51D1" w14:textId="77777777" w:rsidTr="00B06CE6">
        <w:tc>
          <w:tcPr>
            <w:tcW w:w="6912" w:type="dxa"/>
            <w:tcBorders>
              <w:top w:val="single" w:sz="12" w:space="0" w:color="auto"/>
              <w:left w:val="single" w:sz="12" w:space="0" w:color="auto"/>
              <w:bottom w:val="single" w:sz="12" w:space="0" w:color="auto"/>
            </w:tcBorders>
            <w:shd w:val="clear" w:color="auto" w:fill="D0CECE"/>
          </w:tcPr>
          <w:p w14:paraId="78182D56" w14:textId="77777777" w:rsidR="002A310E" w:rsidRPr="00EA0AA8" w:rsidRDefault="002A310E"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52903D45" w14:textId="77777777" w:rsidR="002A310E" w:rsidRPr="00EA0AA8" w:rsidRDefault="002E60FE" w:rsidP="00382AE3">
            <w:pPr>
              <w:rPr>
                <w:b/>
              </w:rPr>
            </w:pPr>
            <w:r>
              <w:rPr>
                <w:b/>
              </w:rPr>
              <w:t>3</w:t>
            </w:r>
          </w:p>
        </w:tc>
      </w:tr>
    </w:tbl>
    <w:p w14:paraId="35CE78EC" w14:textId="77777777" w:rsidR="00363EB5" w:rsidRDefault="00363EB5" w:rsidP="00D32F98"/>
    <w:p w14:paraId="4D01BFD7" w14:textId="5E2314CD" w:rsidR="00D32F98" w:rsidRDefault="00D32F98" w:rsidP="00784329">
      <w:pPr>
        <w:ind w:firstLine="227"/>
      </w:pPr>
      <w:r w:rsidRPr="00193994">
        <w:t>Ver</w:t>
      </w:r>
      <w:r>
        <w:t>andering sinds 2015: positief</w:t>
      </w:r>
      <w:r w:rsidRPr="00193994">
        <w:t xml:space="preserve"> =</w:t>
      </w:r>
      <w:r w:rsidR="00AE6CA2">
        <w:t xml:space="preserve"> </w:t>
      </w:r>
      <w:r w:rsidRPr="00193994">
        <w:sym w:font="Wingdings" w:char="F0E9"/>
      </w:r>
    </w:p>
    <w:p w14:paraId="5DD55DEF" w14:textId="77777777" w:rsidR="00784329" w:rsidRDefault="00784329" w:rsidP="00784329">
      <w:pPr>
        <w:ind w:firstLine="227"/>
        <w:rPr>
          <w:b/>
        </w:rPr>
      </w:pPr>
    </w:p>
    <w:p w14:paraId="57297E3C" w14:textId="08706796" w:rsidR="00382AE3" w:rsidRDefault="00784329" w:rsidP="00382AE3">
      <w:pPr>
        <w:pStyle w:val="Heading2"/>
        <w:tabs>
          <w:tab w:val="left" w:pos="-1162"/>
          <w:tab w:val="left" w:pos="0"/>
          <w:tab w:val="num" w:pos="1160"/>
        </w:tabs>
        <w:spacing w:line="240" w:lineRule="auto"/>
        <w:ind w:hanging="1162"/>
      </w:pPr>
      <w:bookmarkStart w:id="43" w:name="_Toc491421109"/>
      <w:r>
        <w:t>4</w:t>
      </w:r>
      <w:r w:rsidR="00382AE3">
        <w:t>.8</w:t>
      </w:r>
      <w:r w:rsidR="00382AE3" w:rsidRPr="004D372F">
        <w:t xml:space="preserve"> </w:t>
      </w:r>
      <w:r w:rsidR="00382AE3">
        <w:tab/>
      </w:r>
      <w:r w:rsidR="00EA531A">
        <w:t>Kosten</w:t>
      </w:r>
      <w:r w:rsidR="00956517">
        <w:t>reductie</w:t>
      </w:r>
      <w:bookmarkEnd w:id="43"/>
    </w:p>
    <w:p w14:paraId="45615353" w14:textId="52FAF470" w:rsidR="00382AE3" w:rsidRDefault="005205A2" w:rsidP="00A13499">
      <w:r>
        <w:t>De WHO is voornamelijk</w:t>
      </w:r>
      <w:r w:rsidR="00F07CA4">
        <w:t xml:space="preserve"> afhankelijk van vrijwillige bijdragen</w:t>
      </w:r>
      <w:r w:rsidR="00886820">
        <w:t xml:space="preserve"> </w:t>
      </w:r>
      <w:r w:rsidR="00984A34">
        <w:rPr>
          <w:i/>
        </w:rPr>
        <w:t>non-</w:t>
      </w:r>
      <w:proofErr w:type="spellStart"/>
      <w:r w:rsidR="00984A34">
        <w:rPr>
          <w:i/>
        </w:rPr>
        <w:t>core</w:t>
      </w:r>
      <w:proofErr w:type="spellEnd"/>
      <w:r w:rsidR="00984A34">
        <w:rPr>
          <w:i/>
        </w:rPr>
        <w:t xml:space="preserve"> </w:t>
      </w:r>
      <w:r>
        <w:t>voor specifieke programma’s</w:t>
      </w:r>
      <w:r w:rsidR="00F07CA4">
        <w:t xml:space="preserve">. </w:t>
      </w:r>
      <w:r w:rsidR="000964EA">
        <w:t xml:space="preserve">Om algemene administratieve en management kosten te dekken </w:t>
      </w:r>
      <w:r w:rsidR="00C21A80">
        <w:t xml:space="preserve">heeft de WHO een </w:t>
      </w:r>
      <w:r w:rsidR="00C21A80" w:rsidRPr="00F32F5B">
        <w:rPr>
          <w:i/>
        </w:rPr>
        <w:t xml:space="preserve">Special Account </w:t>
      </w:r>
      <w:proofErr w:type="spellStart"/>
      <w:r w:rsidR="00C21A80" w:rsidRPr="00F32F5B">
        <w:rPr>
          <w:i/>
        </w:rPr>
        <w:t>for</w:t>
      </w:r>
      <w:proofErr w:type="spellEnd"/>
      <w:r w:rsidR="00C21A80" w:rsidRPr="00F32F5B">
        <w:rPr>
          <w:i/>
        </w:rPr>
        <w:t xml:space="preserve"> </w:t>
      </w:r>
      <w:proofErr w:type="spellStart"/>
      <w:r w:rsidR="00C21A80" w:rsidRPr="00F32F5B">
        <w:rPr>
          <w:i/>
        </w:rPr>
        <w:t>Servicing</w:t>
      </w:r>
      <w:proofErr w:type="spellEnd"/>
      <w:r w:rsidR="00C21A80" w:rsidRPr="00F32F5B">
        <w:rPr>
          <w:i/>
        </w:rPr>
        <w:t xml:space="preserve"> </w:t>
      </w:r>
      <w:proofErr w:type="spellStart"/>
      <w:r w:rsidR="00C21A80" w:rsidRPr="00F32F5B">
        <w:rPr>
          <w:i/>
        </w:rPr>
        <w:t>Costs</w:t>
      </w:r>
      <w:proofErr w:type="spellEnd"/>
      <w:r w:rsidR="00C21A80" w:rsidRPr="00F32F5B">
        <w:rPr>
          <w:i/>
        </w:rPr>
        <w:t xml:space="preserve"> Fund</w:t>
      </w:r>
      <w:r w:rsidR="00C21A80">
        <w:t xml:space="preserve"> opgericht. Uit dit fonds worden bepaalde</w:t>
      </w:r>
      <w:r w:rsidR="005E3209">
        <w:t xml:space="preserve"> administratieve </w:t>
      </w:r>
      <w:r w:rsidR="00C21A80">
        <w:t>diensten</w:t>
      </w:r>
      <w:r w:rsidR="005E3209">
        <w:t xml:space="preserve"> van de WHO</w:t>
      </w:r>
      <w:r w:rsidR="00C21A80">
        <w:t xml:space="preserve"> betaald die niet uit </w:t>
      </w:r>
      <w:r w:rsidR="005E3209">
        <w:t>de verplichte bijdragen kunnen worden betaald</w:t>
      </w:r>
      <w:r w:rsidR="000964EA">
        <w:t>.</w:t>
      </w:r>
      <w:r w:rsidR="005E3209">
        <w:t xml:space="preserve"> Grootste inkomstenbron van dit fonds </w:t>
      </w:r>
      <w:r w:rsidR="005E3209">
        <w:lastRenderedPageBreak/>
        <w:t xml:space="preserve">zijn de inkomsten uit het vaste percentage aan </w:t>
      </w:r>
      <w:proofErr w:type="spellStart"/>
      <w:r w:rsidR="005E3209" w:rsidRPr="005E3209">
        <w:rPr>
          <w:i/>
        </w:rPr>
        <w:t>programme</w:t>
      </w:r>
      <w:proofErr w:type="spellEnd"/>
      <w:r w:rsidR="005E3209" w:rsidRPr="005E3209">
        <w:rPr>
          <w:i/>
        </w:rPr>
        <w:t xml:space="preserve"> support </w:t>
      </w:r>
      <w:proofErr w:type="spellStart"/>
      <w:r w:rsidR="005E3209" w:rsidRPr="005E3209">
        <w:rPr>
          <w:i/>
        </w:rPr>
        <w:t>costs</w:t>
      </w:r>
      <w:proofErr w:type="spellEnd"/>
      <w:r w:rsidR="005E3209">
        <w:t xml:space="preserve"> van 7% die de WHO rekent.</w:t>
      </w:r>
      <w:r w:rsidR="000964EA">
        <w:t xml:space="preserve"> De WHO is zich ervan bewust dat hierdoor subsidiëring van algemene kosten van </w:t>
      </w:r>
      <w:r w:rsidR="00984A34">
        <w:rPr>
          <w:i/>
        </w:rPr>
        <w:t>non-</w:t>
      </w:r>
      <w:proofErr w:type="spellStart"/>
      <w:r w:rsidR="00984A34">
        <w:rPr>
          <w:i/>
        </w:rPr>
        <w:t>core</w:t>
      </w:r>
      <w:proofErr w:type="spellEnd"/>
      <w:r w:rsidR="000964EA">
        <w:t xml:space="preserve"> programma’s ten laste va</w:t>
      </w:r>
      <w:r w:rsidR="000964EA" w:rsidRPr="004333AA">
        <w:t xml:space="preserve">n de </w:t>
      </w:r>
      <w:proofErr w:type="spellStart"/>
      <w:r w:rsidR="00984A34">
        <w:rPr>
          <w:i/>
        </w:rPr>
        <w:t>core</w:t>
      </w:r>
      <w:proofErr w:type="spellEnd"/>
      <w:r w:rsidR="000964EA" w:rsidRPr="004333AA">
        <w:t xml:space="preserve"> vrijwillige bijdragen voorkomt</w:t>
      </w:r>
      <w:r w:rsidR="000E3955">
        <w:t>.</w:t>
      </w:r>
    </w:p>
    <w:p w14:paraId="41C66D8B" w14:textId="77777777" w:rsidR="00AC276A" w:rsidRDefault="00AC276A" w:rsidP="00A13499"/>
    <w:p w14:paraId="746557E4" w14:textId="48031463" w:rsidR="00175043" w:rsidRDefault="006D4B1E" w:rsidP="00A13499">
      <w:r>
        <w:t xml:space="preserve">De grootste uitgavenpost van de WHO is personeel. </w:t>
      </w:r>
      <w:r w:rsidR="0002505B">
        <w:t xml:space="preserve">WHO </w:t>
      </w:r>
      <w:r w:rsidR="0002505B">
        <w:rPr>
          <w:rFonts w:cs="Verdana"/>
          <w:szCs w:val="18"/>
        </w:rPr>
        <w:t>volgt het algemene VN-beleid wat betreft salarissen en secundaire arbeidsvoorwaarden. Dit wordt in de vijfde commissie vastgesteld.</w:t>
      </w:r>
      <w:r w:rsidR="005300F2">
        <w:t xml:space="preserve"> </w:t>
      </w:r>
      <w:r w:rsidR="0002505B">
        <w:t>Daarnaast maakt de</w:t>
      </w:r>
      <w:r w:rsidR="005300F2">
        <w:t xml:space="preserve"> WHO ook veel gebruik van externe consultants. </w:t>
      </w:r>
      <w:r>
        <w:t>Om kostenefficiënter te werken heeft de WHO het percentage van het totale budget dat wordt uitgegeven aan personeel verlaagd van 47% in 2012 naar 41% in 2014.</w:t>
      </w:r>
      <w:r w:rsidR="003058E7">
        <w:t xml:space="preserve"> </w:t>
      </w:r>
    </w:p>
    <w:p w14:paraId="6EE9C355" w14:textId="77777777" w:rsidR="00AC276A" w:rsidRDefault="00AC276A" w:rsidP="00A13499"/>
    <w:p w14:paraId="18F77750" w14:textId="1E7F24C5" w:rsidR="006D4B1E" w:rsidRDefault="005205A2" w:rsidP="00A13499">
      <w:r>
        <w:t xml:space="preserve">Ook </w:t>
      </w:r>
      <w:r w:rsidR="00FE7702">
        <w:t>heeft de WHO i</w:t>
      </w:r>
      <w:r w:rsidR="007001F6">
        <w:t xml:space="preserve">n april 2015 een </w:t>
      </w:r>
      <w:proofErr w:type="spellStart"/>
      <w:r w:rsidR="007001F6" w:rsidRPr="00604AEE">
        <w:rPr>
          <w:i/>
        </w:rPr>
        <w:t>Procurement</w:t>
      </w:r>
      <w:proofErr w:type="spellEnd"/>
      <w:r w:rsidR="007001F6" w:rsidRPr="00604AEE">
        <w:rPr>
          <w:i/>
        </w:rPr>
        <w:t xml:space="preserve"> </w:t>
      </w:r>
      <w:proofErr w:type="spellStart"/>
      <w:r w:rsidR="007001F6" w:rsidRPr="00604AEE">
        <w:rPr>
          <w:i/>
        </w:rPr>
        <w:t>Strategy</w:t>
      </w:r>
      <w:proofErr w:type="spellEnd"/>
      <w:r w:rsidR="007001F6">
        <w:t xml:space="preserve"> opgesteld</w:t>
      </w:r>
      <w:r>
        <w:t>, waarin een strategisch speerpunt het verbeteren van</w:t>
      </w:r>
      <w:r w:rsidR="00FE7702">
        <w:t xml:space="preserve"> kostenefficiëntie is</w:t>
      </w:r>
      <w:r w:rsidR="007001F6">
        <w:t xml:space="preserve">. </w:t>
      </w:r>
      <w:r w:rsidR="00FE7702">
        <w:t xml:space="preserve">In </w:t>
      </w:r>
      <w:r w:rsidR="00072D71">
        <w:t>het document</w:t>
      </w:r>
      <w:r w:rsidR="00FE7702">
        <w:t xml:space="preserve"> worden</w:t>
      </w:r>
      <w:r w:rsidR="00072D71">
        <w:t xml:space="preserve"> een aantal</w:t>
      </w:r>
      <w:r w:rsidR="00FE7702">
        <w:t xml:space="preserve"> concrete</w:t>
      </w:r>
      <w:r w:rsidR="00A2182A">
        <w:t xml:space="preserve"> maatregelen genoemd die </w:t>
      </w:r>
      <w:r w:rsidR="00072D71">
        <w:t>worden geïmplementeerd</w:t>
      </w:r>
      <w:r w:rsidR="00A2182A">
        <w:t>:</w:t>
      </w:r>
      <w:r w:rsidR="00FE7702">
        <w:t xml:space="preserve"> o.a.</w:t>
      </w:r>
      <w:r w:rsidR="00072D71">
        <w:t xml:space="preserve"> </w:t>
      </w:r>
      <w:r w:rsidR="006D4B1E">
        <w:t xml:space="preserve">standaardisering van producten en meer samenwerking met andere VN organisaties om samen in te </w:t>
      </w:r>
      <w:r w:rsidR="003058E7">
        <w:t>kopen.</w:t>
      </w:r>
      <w:r w:rsidR="00071A17">
        <w:t xml:space="preserve"> Ook v</w:t>
      </w:r>
      <w:r w:rsidR="00A2182A">
        <w:t xml:space="preserve">oor het </w:t>
      </w:r>
      <w:r w:rsidR="00071A17">
        <w:t>budget 2018-2019 wordt alvast nagedacht over het verbeteren van de kostenefficiëntie. In een concept document over het l</w:t>
      </w:r>
      <w:r w:rsidR="00546466">
        <w:t xml:space="preserve">everen van resultaten in het </w:t>
      </w:r>
      <w:proofErr w:type="spellStart"/>
      <w:r w:rsidR="00546466">
        <w:t>bië</w:t>
      </w:r>
      <w:r w:rsidR="00071A17">
        <w:t>nnium</w:t>
      </w:r>
      <w:proofErr w:type="spellEnd"/>
      <w:r w:rsidR="00071A17">
        <w:t xml:space="preserve"> 2018-2019 kondigt de WHO een uitgebreid </w:t>
      </w:r>
      <w:proofErr w:type="spellStart"/>
      <w:r w:rsidR="00071A17">
        <w:rPr>
          <w:i/>
        </w:rPr>
        <w:t>value</w:t>
      </w:r>
      <w:proofErr w:type="spellEnd"/>
      <w:r w:rsidR="00071A17">
        <w:rPr>
          <w:i/>
        </w:rPr>
        <w:t>-</w:t>
      </w:r>
      <w:proofErr w:type="spellStart"/>
      <w:r w:rsidR="00071A17">
        <w:rPr>
          <w:i/>
        </w:rPr>
        <w:t>for</w:t>
      </w:r>
      <w:proofErr w:type="spellEnd"/>
      <w:r w:rsidR="00071A17">
        <w:rPr>
          <w:i/>
        </w:rPr>
        <w:t xml:space="preserve">-money </w:t>
      </w:r>
      <w:r w:rsidR="00071A17">
        <w:t>plan aan dat aan de beheersorganen zal worden voorgelegd.</w:t>
      </w:r>
      <w:r w:rsidR="005C363C">
        <w:t xml:space="preserve"> De WHO neemt </w:t>
      </w:r>
      <w:r w:rsidR="00FB5600">
        <w:t>dus voldoende</w:t>
      </w:r>
      <w:r w:rsidR="005C363C">
        <w:t xml:space="preserve"> maatregelen om zo kostenefficiënt mogelijk te werken.</w:t>
      </w:r>
      <w:r>
        <w:t xml:space="preserve"> Ve</w:t>
      </w:r>
      <w:r w:rsidR="005D7FC7">
        <w:t>rbeterpunt</w:t>
      </w:r>
      <w:r>
        <w:t xml:space="preserve"> op dit gebied is </w:t>
      </w:r>
      <w:r w:rsidR="00315F83">
        <w:t xml:space="preserve">de </w:t>
      </w:r>
      <w:r w:rsidR="003058E7">
        <w:t>controle</w:t>
      </w:r>
      <w:r w:rsidR="00EE3EA9">
        <w:t xml:space="preserve"> </w:t>
      </w:r>
      <w:r w:rsidR="003058E7">
        <w:t>op de implementatie van deze maatregelen op regionaal en nationaal niveau.</w:t>
      </w:r>
      <w:r w:rsidR="00AE6CA2">
        <w:t xml:space="preserve"> </w:t>
      </w:r>
    </w:p>
    <w:p w14:paraId="68A8ED09" w14:textId="77777777" w:rsidR="000964EA" w:rsidRPr="00382AE3" w:rsidRDefault="000964EA" w:rsidP="00A134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382AE3" w:rsidRPr="00EA0AA8" w14:paraId="3631E95A" w14:textId="77777777" w:rsidTr="00B06CE6">
        <w:tc>
          <w:tcPr>
            <w:tcW w:w="6912" w:type="dxa"/>
            <w:tcBorders>
              <w:top w:val="single" w:sz="12" w:space="0" w:color="auto"/>
              <w:left w:val="single" w:sz="12" w:space="0" w:color="auto"/>
              <w:bottom w:val="single" w:sz="12" w:space="0" w:color="auto"/>
            </w:tcBorders>
            <w:shd w:val="clear" w:color="auto" w:fill="D0CECE"/>
          </w:tcPr>
          <w:p w14:paraId="339A5C38" w14:textId="77777777" w:rsidR="00382AE3" w:rsidRPr="00EA0AA8" w:rsidRDefault="00382AE3"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43D0A40A" w14:textId="77777777" w:rsidR="00382AE3" w:rsidRPr="00EA0AA8" w:rsidRDefault="00382AE3" w:rsidP="00382AE3">
            <w:pPr>
              <w:rPr>
                <w:b/>
              </w:rPr>
            </w:pPr>
            <w:r w:rsidRPr="00EA0AA8">
              <w:rPr>
                <w:b/>
              </w:rPr>
              <w:t>Score</w:t>
            </w:r>
          </w:p>
        </w:tc>
      </w:tr>
      <w:tr w:rsidR="00382AE3" w14:paraId="18032BD0" w14:textId="77777777" w:rsidTr="00382AE3">
        <w:tc>
          <w:tcPr>
            <w:tcW w:w="6912" w:type="dxa"/>
            <w:tcBorders>
              <w:top w:val="single" w:sz="12" w:space="0" w:color="auto"/>
              <w:left w:val="single" w:sz="12" w:space="0" w:color="auto"/>
            </w:tcBorders>
            <w:shd w:val="clear" w:color="auto" w:fill="auto"/>
          </w:tcPr>
          <w:p w14:paraId="33D1F3BE" w14:textId="77777777" w:rsidR="00382AE3" w:rsidRDefault="002568BC" w:rsidP="00382AE3">
            <w:r>
              <w:t>Verhouding programma-uitgaven/overhead</w:t>
            </w:r>
          </w:p>
        </w:tc>
        <w:tc>
          <w:tcPr>
            <w:tcW w:w="955" w:type="dxa"/>
            <w:tcBorders>
              <w:top w:val="single" w:sz="12" w:space="0" w:color="auto"/>
              <w:right w:val="single" w:sz="12" w:space="0" w:color="auto"/>
            </w:tcBorders>
            <w:shd w:val="clear" w:color="auto" w:fill="auto"/>
          </w:tcPr>
          <w:p w14:paraId="188095E5" w14:textId="77777777" w:rsidR="00382AE3" w:rsidRDefault="00EE3EA9" w:rsidP="00382AE3">
            <w:r>
              <w:t>3</w:t>
            </w:r>
          </w:p>
        </w:tc>
      </w:tr>
      <w:tr w:rsidR="00382AE3" w14:paraId="620D4091" w14:textId="77777777" w:rsidTr="00382AE3">
        <w:tc>
          <w:tcPr>
            <w:tcW w:w="6912" w:type="dxa"/>
            <w:tcBorders>
              <w:left w:val="single" w:sz="12" w:space="0" w:color="auto"/>
            </w:tcBorders>
            <w:shd w:val="clear" w:color="auto" w:fill="auto"/>
          </w:tcPr>
          <w:p w14:paraId="4CB49830" w14:textId="77777777" w:rsidR="00382AE3" w:rsidRDefault="002568BC" w:rsidP="00A21A93">
            <w:r>
              <w:t>Kosteneff</w:t>
            </w:r>
            <w:r w:rsidR="00A21A93">
              <w:t xml:space="preserve">ectiviteit </w:t>
            </w:r>
            <w:r>
              <w:t>programma’s</w:t>
            </w:r>
          </w:p>
        </w:tc>
        <w:tc>
          <w:tcPr>
            <w:tcW w:w="955" w:type="dxa"/>
            <w:tcBorders>
              <w:right w:val="single" w:sz="12" w:space="0" w:color="auto"/>
            </w:tcBorders>
            <w:shd w:val="clear" w:color="auto" w:fill="auto"/>
          </w:tcPr>
          <w:p w14:paraId="473F4A2B" w14:textId="77777777" w:rsidR="00382AE3" w:rsidRDefault="002C737E" w:rsidP="00382AE3">
            <w:r>
              <w:t>3</w:t>
            </w:r>
          </w:p>
        </w:tc>
      </w:tr>
      <w:tr w:rsidR="00382AE3" w14:paraId="5539329C" w14:textId="77777777" w:rsidTr="00382AE3">
        <w:tc>
          <w:tcPr>
            <w:tcW w:w="6912" w:type="dxa"/>
            <w:tcBorders>
              <w:left w:val="single" w:sz="12" w:space="0" w:color="auto"/>
            </w:tcBorders>
            <w:shd w:val="clear" w:color="auto" w:fill="auto"/>
          </w:tcPr>
          <w:p w14:paraId="3172D890" w14:textId="77777777" w:rsidR="00382AE3" w:rsidRDefault="002568BC" w:rsidP="00382AE3">
            <w:r>
              <w:t>Versobering salarissen en secundaire arbeidsvoorwaarden</w:t>
            </w:r>
          </w:p>
        </w:tc>
        <w:tc>
          <w:tcPr>
            <w:tcW w:w="955" w:type="dxa"/>
            <w:tcBorders>
              <w:right w:val="single" w:sz="12" w:space="0" w:color="auto"/>
            </w:tcBorders>
            <w:shd w:val="clear" w:color="auto" w:fill="auto"/>
          </w:tcPr>
          <w:p w14:paraId="1DEAD6A5" w14:textId="77777777" w:rsidR="00382AE3" w:rsidRDefault="00EE3EA9" w:rsidP="00382AE3">
            <w:r>
              <w:t>3</w:t>
            </w:r>
          </w:p>
        </w:tc>
      </w:tr>
      <w:tr w:rsidR="00382AE3" w:rsidRPr="00EA0AA8" w14:paraId="3405C028" w14:textId="77777777" w:rsidTr="00B06CE6">
        <w:tc>
          <w:tcPr>
            <w:tcW w:w="6912" w:type="dxa"/>
            <w:tcBorders>
              <w:top w:val="single" w:sz="12" w:space="0" w:color="auto"/>
              <w:left w:val="single" w:sz="12" w:space="0" w:color="auto"/>
              <w:bottom w:val="single" w:sz="12" w:space="0" w:color="auto"/>
            </w:tcBorders>
            <w:shd w:val="clear" w:color="auto" w:fill="D0CECE"/>
          </w:tcPr>
          <w:p w14:paraId="0E576D22" w14:textId="77777777" w:rsidR="00382AE3" w:rsidRPr="00EA0AA8" w:rsidRDefault="00382AE3"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4B025864" w14:textId="77777777" w:rsidR="00382AE3" w:rsidRPr="00EA0AA8" w:rsidRDefault="00EE3EA9" w:rsidP="00382AE3">
            <w:pPr>
              <w:rPr>
                <w:b/>
              </w:rPr>
            </w:pPr>
            <w:r>
              <w:rPr>
                <w:b/>
              </w:rPr>
              <w:t>3</w:t>
            </w:r>
          </w:p>
        </w:tc>
      </w:tr>
    </w:tbl>
    <w:p w14:paraId="5BA9917A" w14:textId="77777777" w:rsidR="00382AE3" w:rsidRPr="00193994" w:rsidRDefault="00382AE3" w:rsidP="00382AE3"/>
    <w:p w14:paraId="133ED216" w14:textId="6E0B564A" w:rsidR="00382AE3" w:rsidRDefault="00D32F98" w:rsidP="00206A0E">
      <w:pPr>
        <w:ind w:firstLine="227"/>
      </w:pPr>
      <w:r w:rsidRPr="00193994">
        <w:t>Ver</w:t>
      </w:r>
      <w:r>
        <w:t>andering sinds 2015: positief</w:t>
      </w:r>
      <w:r w:rsidRPr="00193994">
        <w:t xml:space="preserve"> =</w:t>
      </w:r>
      <w:r w:rsidR="00AE6CA2">
        <w:t xml:space="preserve"> </w:t>
      </w:r>
      <w:r w:rsidRPr="00193994">
        <w:sym w:font="Wingdings" w:char="F0E9"/>
      </w:r>
    </w:p>
    <w:p w14:paraId="3888B447" w14:textId="77777777" w:rsidR="00784329" w:rsidRDefault="00784329" w:rsidP="00382AE3"/>
    <w:p w14:paraId="6C0E4485" w14:textId="2EA18EAB" w:rsidR="00DE343C" w:rsidRPr="004D372F" w:rsidRDefault="00784329" w:rsidP="004D372F">
      <w:pPr>
        <w:pStyle w:val="Heading2"/>
        <w:tabs>
          <w:tab w:val="left" w:pos="-1162"/>
          <w:tab w:val="left" w:pos="0"/>
          <w:tab w:val="num" w:pos="1160"/>
        </w:tabs>
        <w:spacing w:line="240" w:lineRule="auto"/>
        <w:ind w:hanging="1162"/>
      </w:pPr>
      <w:bookmarkStart w:id="44" w:name="_Toc491421110"/>
      <w:r>
        <w:t>4</w:t>
      </w:r>
      <w:r w:rsidR="000A22CF">
        <w:t>.</w:t>
      </w:r>
      <w:r w:rsidR="00382AE3">
        <w:t>9</w:t>
      </w:r>
      <w:r w:rsidR="004D372F" w:rsidRPr="004D372F">
        <w:t xml:space="preserve"> </w:t>
      </w:r>
      <w:r w:rsidR="004D372F">
        <w:tab/>
      </w:r>
      <w:r w:rsidR="00DE343C" w:rsidRPr="004D372F">
        <w:t>Corruptiebestrijding</w:t>
      </w:r>
      <w:bookmarkEnd w:id="44"/>
      <w:r w:rsidR="000F53BE">
        <w:t xml:space="preserve"> </w:t>
      </w:r>
    </w:p>
    <w:p w14:paraId="73AA874E" w14:textId="74DB8788" w:rsidR="00C9583F" w:rsidRPr="00EB6070" w:rsidRDefault="00C9583F" w:rsidP="00C9583F">
      <w:r w:rsidRPr="00EB6070">
        <w:t xml:space="preserve">De </w:t>
      </w:r>
      <w:r w:rsidRPr="004333AA">
        <w:rPr>
          <w:i/>
        </w:rPr>
        <w:t xml:space="preserve">Office of Compliance, Risk Management </w:t>
      </w:r>
      <w:proofErr w:type="spellStart"/>
      <w:r w:rsidRPr="004333AA">
        <w:rPr>
          <w:i/>
        </w:rPr>
        <w:t>and</w:t>
      </w:r>
      <w:proofErr w:type="spellEnd"/>
      <w:r w:rsidRPr="004333AA">
        <w:rPr>
          <w:i/>
        </w:rPr>
        <w:t xml:space="preserve"> </w:t>
      </w:r>
      <w:proofErr w:type="spellStart"/>
      <w:r w:rsidRPr="004333AA">
        <w:rPr>
          <w:i/>
        </w:rPr>
        <w:t>Ethics</w:t>
      </w:r>
      <w:proofErr w:type="spellEnd"/>
      <w:r w:rsidRPr="00EB6070">
        <w:t xml:space="preserve"> i</w:t>
      </w:r>
      <w:r w:rsidR="00A4390D">
        <w:t xml:space="preserve">s </w:t>
      </w:r>
      <w:r w:rsidR="00873189">
        <w:t>sinds 2014 operationeel en</w:t>
      </w:r>
      <w:r w:rsidR="00AE6CA2">
        <w:t xml:space="preserve"> </w:t>
      </w:r>
      <w:r w:rsidR="00873189">
        <w:t>in lijn met</w:t>
      </w:r>
      <w:r w:rsidR="00F32F5B">
        <w:t xml:space="preserve"> </w:t>
      </w:r>
      <w:r w:rsidR="00F32F5B">
        <w:rPr>
          <w:i/>
        </w:rPr>
        <w:t xml:space="preserve">Joint </w:t>
      </w:r>
      <w:proofErr w:type="spellStart"/>
      <w:r w:rsidR="00F32F5B">
        <w:rPr>
          <w:i/>
        </w:rPr>
        <w:t>Inspection</w:t>
      </w:r>
      <w:proofErr w:type="spellEnd"/>
      <w:r w:rsidR="00F32F5B">
        <w:rPr>
          <w:i/>
        </w:rPr>
        <w:t xml:space="preserve"> Unit</w:t>
      </w:r>
      <w:r w:rsidR="00873189">
        <w:t xml:space="preserve"> </w:t>
      </w:r>
      <w:r w:rsidR="00F32F5B">
        <w:t>(</w:t>
      </w:r>
      <w:r w:rsidR="00886820">
        <w:t>JIU</w:t>
      </w:r>
      <w:r w:rsidR="00F32F5B">
        <w:t>)</w:t>
      </w:r>
      <w:r w:rsidR="00886820">
        <w:t xml:space="preserve"> aanbevelingen</w:t>
      </w:r>
      <w:r w:rsidR="00A1348F">
        <w:t>.</w:t>
      </w:r>
      <w:r w:rsidR="00A4390D">
        <w:t xml:space="preserve"> </w:t>
      </w:r>
      <w:r>
        <w:t xml:space="preserve">De </w:t>
      </w:r>
      <w:r w:rsidRPr="00106D59">
        <w:t xml:space="preserve">WHO </w:t>
      </w:r>
      <w:r>
        <w:t xml:space="preserve">kent </w:t>
      </w:r>
      <w:r w:rsidRPr="00106D59">
        <w:t xml:space="preserve">een </w:t>
      </w:r>
      <w:r w:rsidRPr="004333AA">
        <w:rPr>
          <w:i/>
        </w:rPr>
        <w:t xml:space="preserve">Research </w:t>
      </w:r>
      <w:proofErr w:type="spellStart"/>
      <w:r w:rsidRPr="004333AA">
        <w:rPr>
          <w:i/>
        </w:rPr>
        <w:t>Ethics</w:t>
      </w:r>
      <w:proofErr w:type="spellEnd"/>
      <w:r w:rsidRPr="004333AA">
        <w:rPr>
          <w:i/>
        </w:rPr>
        <w:t xml:space="preserve"> Review </w:t>
      </w:r>
      <w:proofErr w:type="spellStart"/>
      <w:r w:rsidRPr="004333AA">
        <w:rPr>
          <w:i/>
        </w:rPr>
        <w:t>Committee</w:t>
      </w:r>
      <w:proofErr w:type="spellEnd"/>
      <w:r w:rsidRPr="00106D59">
        <w:t xml:space="preserve"> die voldoet aan de internationale standaarden.</w:t>
      </w:r>
    </w:p>
    <w:p w14:paraId="7015BDA2" w14:textId="7B42F48F" w:rsidR="008C2ADA" w:rsidRDefault="00C9583F" w:rsidP="00C9583F">
      <w:r w:rsidRPr="00106D59">
        <w:t xml:space="preserve">De WHO beschikt over goed uitgewerkt beleid en richtlijnen op het gebied van corruptiebestrijding. Zo </w:t>
      </w:r>
      <w:r>
        <w:t>is</w:t>
      </w:r>
      <w:r w:rsidR="00BC4C81">
        <w:t xml:space="preserve"> er beleid betreffende fraude </w:t>
      </w:r>
      <w:r w:rsidRPr="00106D59">
        <w:t>en e</w:t>
      </w:r>
      <w:r>
        <w:t>en verantwoordingskader</w:t>
      </w:r>
      <w:r w:rsidRPr="00106D59">
        <w:t>.</w:t>
      </w:r>
      <w:r>
        <w:t>/</w:t>
      </w:r>
      <w:r w:rsidRPr="00106D59">
        <w:t xml:space="preserve"> </w:t>
      </w:r>
      <w:r w:rsidR="003336E9">
        <w:t>Het beleid t.o.v. klokkenluiders is in 2015 hervormd</w:t>
      </w:r>
      <w:r w:rsidR="0007105F">
        <w:t>, dit beleid geldt expliciet ook voor stagiairs en ingehuurde consul</w:t>
      </w:r>
      <w:r w:rsidR="00836056">
        <w:t>t</w:t>
      </w:r>
      <w:r w:rsidR="0007105F">
        <w:t>ants</w:t>
      </w:r>
      <w:r w:rsidR="003336E9">
        <w:t>.</w:t>
      </w:r>
      <w:r w:rsidR="00E136AA">
        <w:t xml:space="preserve"> Ook is er een update geweest van het kader voor de interne controle</w:t>
      </w:r>
      <w:r w:rsidR="00F3562A">
        <w:t xml:space="preserve"> en bestaat er een risico management beleidskader</w:t>
      </w:r>
      <w:r w:rsidR="00E136AA">
        <w:t xml:space="preserve">. </w:t>
      </w:r>
    </w:p>
    <w:p w14:paraId="68448B6C" w14:textId="77777777" w:rsidR="00A33725" w:rsidRDefault="00A33725" w:rsidP="00F3562A"/>
    <w:p w14:paraId="0D18EB43" w14:textId="5A4D7313" w:rsidR="00F3562A" w:rsidRDefault="00B229E9" w:rsidP="00F3562A">
      <w:r>
        <w:t xml:space="preserve">De WHO </w:t>
      </w:r>
      <w:r w:rsidR="00DD7487">
        <w:t>heeft voor het jaar 2017 een document openbaar gemaakt waarin de belangrijkste risico</w:t>
      </w:r>
      <w:r w:rsidR="00886820">
        <w:t>’</w:t>
      </w:r>
      <w:r w:rsidR="00DD7487">
        <w:t xml:space="preserve">s </w:t>
      </w:r>
      <w:r w:rsidR="00886820">
        <w:t>voor de organisatie</w:t>
      </w:r>
      <w:r w:rsidR="00DD7487">
        <w:t xml:space="preserve"> op het gebied van o.a. financiën, de programma’s, de selectie van een nieuwe DG, fraude en corruptie</w:t>
      </w:r>
      <w:r w:rsidR="004308F4">
        <w:t xml:space="preserve"> en </w:t>
      </w:r>
      <w:r w:rsidR="004308F4" w:rsidRPr="00F32F5B">
        <w:rPr>
          <w:i/>
        </w:rPr>
        <w:t>cyber security</w:t>
      </w:r>
      <w:r w:rsidR="004308F4">
        <w:t xml:space="preserve"> </w:t>
      </w:r>
      <w:r w:rsidR="00886820">
        <w:t xml:space="preserve">zijn </w:t>
      </w:r>
      <w:r w:rsidR="004308F4">
        <w:t>opgenomen.</w:t>
      </w:r>
      <w:r w:rsidR="00AE6CA2">
        <w:t xml:space="preserve"> </w:t>
      </w:r>
      <w:r w:rsidR="002330BE">
        <w:t>De IEOAC vond het niveau van detail in de risico analyse, identificatie, evaluatie, impact, kosten en ontwikkeling van risicobeperkingsplannen</w:t>
      </w:r>
      <w:r w:rsidR="005D7FC7">
        <w:t xml:space="preserve"> op programmaniveau</w:t>
      </w:r>
      <w:r w:rsidR="002330BE">
        <w:t xml:space="preserve"> indrukwekkend.</w:t>
      </w:r>
      <w:r w:rsidR="00F3562A" w:rsidRPr="00F3562A">
        <w:t xml:space="preserve"> </w:t>
      </w:r>
    </w:p>
    <w:p w14:paraId="4F2BD12D" w14:textId="77777777" w:rsidR="00A33725" w:rsidRDefault="00A33725" w:rsidP="00F3562A"/>
    <w:p w14:paraId="1006231D" w14:textId="2D4F1D82" w:rsidR="00F3562A" w:rsidRDefault="00F3562A" w:rsidP="00F3562A">
      <w:r>
        <w:t>Het rapport van de externe auditor van 2015 geeft aan dat de risico’s die worden geregistreerd beter aangepakt kunnen worden. Verder kunnen er op regionaal- en landenniveau nog verbeteringen worden doorgevoerd in de risicoregistra</w:t>
      </w:r>
      <w:r w:rsidR="002168DA">
        <w:t xml:space="preserve">tie en </w:t>
      </w:r>
      <w:r w:rsidR="002168DA">
        <w:lastRenderedPageBreak/>
        <w:t xml:space="preserve">beoordeling. Dat </w:t>
      </w:r>
      <w:r>
        <w:t>is</w:t>
      </w:r>
      <w:r w:rsidR="002168DA">
        <w:t xml:space="preserve"> vooral</w:t>
      </w:r>
      <w:r>
        <w:t xml:space="preserve"> belangrijk omdat op programmaniveau de</w:t>
      </w:r>
      <w:r w:rsidR="002168DA">
        <w:t xml:space="preserve"> risico’s nog onvoldoende</w:t>
      </w:r>
      <w:r>
        <w:t xml:space="preserve"> worden geadresseerd omdat </w:t>
      </w:r>
      <w:r w:rsidR="005D7FC7">
        <w:t xml:space="preserve">ze </w:t>
      </w:r>
      <w:r w:rsidR="002168DA">
        <w:t>niet allen</w:t>
      </w:r>
      <w:r>
        <w:t xml:space="preserve"> worden geïdentificeerd.</w:t>
      </w:r>
    </w:p>
    <w:p w14:paraId="31F138CA" w14:textId="5C1DED40" w:rsidR="00784329" w:rsidRDefault="002C737E" w:rsidP="00C661FC">
      <w:r>
        <w:t>Incidentele g</w:t>
      </w:r>
      <w:r w:rsidR="00A4390D">
        <w:t xml:space="preserve">evallen van corruptie en integriteitschendingen en de daartegen genomen maatregelen worden opgenomen in de rapporten van de interne </w:t>
      </w:r>
      <w:r w:rsidR="006A22DA">
        <w:t xml:space="preserve">en de externe </w:t>
      </w:r>
      <w:r w:rsidR="00A4390D">
        <w:t>auditor.</w:t>
      </w:r>
      <w:r>
        <w:t xml:space="preserve"> Deze documentatie is openbaar.</w:t>
      </w:r>
      <w:r w:rsidR="00A4390D">
        <w:t xml:space="preserve"> </w:t>
      </w:r>
      <w:r w:rsidR="005D7FC7">
        <w:t xml:space="preserve">Om ook op individueel </w:t>
      </w:r>
      <w:r w:rsidR="00510129">
        <w:t>medewerker niveau</w:t>
      </w:r>
      <w:r w:rsidR="005D7FC7">
        <w:t xml:space="preserve"> corruptie tegen te gaan heeft de </w:t>
      </w:r>
      <w:r w:rsidR="00E136AA">
        <w:t>WHO beleid over het aangeven van mogelijk conflicterende belangen</w:t>
      </w:r>
      <w:r w:rsidR="00F3562A">
        <w:t xml:space="preserve"> van medewerkers</w:t>
      </w:r>
      <w:r w:rsidR="005D7FC7">
        <w:t>.</w:t>
      </w:r>
      <w:r w:rsidR="00F3562A">
        <w:t xml:space="preserve"> </w:t>
      </w:r>
      <w:r w:rsidR="00E136AA">
        <w:t xml:space="preserve">De JIU </w:t>
      </w:r>
      <w:r w:rsidR="00510129">
        <w:t>stelt echter</w:t>
      </w:r>
      <w:r w:rsidR="00E136AA">
        <w:t xml:space="preserve"> dat dit programma alleen geldt voor het senior management, maar ook zou moeten gelden voor andere risicovolle functies.</w:t>
      </w:r>
    </w:p>
    <w:p w14:paraId="474EE5C0" w14:textId="77777777" w:rsidR="000A22CF" w:rsidRDefault="000A22CF" w:rsidP="000A22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2A310E" w:rsidRPr="00EA0AA8" w14:paraId="18CA12A3" w14:textId="77777777" w:rsidTr="00B06CE6">
        <w:tc>
          <w:tcPr>
            <w:tcW w:w="6912" w:type="dxa"/>
            <w:tcBorders>
              <w:top w:val="single" w:sz="12" w:space="0" w:color="auto"/>
              <w:left w:val="single" w:sz="12" w:space="0" w:color="auto"/>
              <w:bottom w:val="single" w:sz="12" w:space="0" w:color="auto"/>
            </w:tcBorders>
            <w:shd w:val="clear" w:color="auto" w:fill="D0CECE"/>
          </w:tcPr>
          <w:p w14:paraId="0E1C64B8" w14:textId="77777777" w:rsidR="002A310E" w:rsidRPr="00EA0AA8" w:rsidRDefault="002A310E"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72509752" w14:textId="77777777" w:rsidR="002A310E" w:rsidRPr="00EA0AA8" w:rsidRDefault="002A310E" w:rsidP="00382AE3">
            <w:pPr>
              <w:rPr>
                <w:b/>
              </w:rPr>
            </w:pPr>
            <w:r w:rsidRPr="00EA0AA8">
              <w:rPr>
                <w:b/>
              </w:rPr>
              <w:t>Score</w:t>
            </w:r>
          </w:p>
        </w:tc>
      </w:tr>
      <w:tr w:rsidR="002A310E" w14:paraId="58E476AA" w14:textId="77777777" w:rsidTr="00382AE3">
        <w:tc>
          <w:tcPr>
            <w:tcW w:w="6912" w:type="dxa"/>
            <w:tcBorders>
              <w:top w:val="single" w:sz="12" w:space="0" w:color="auto"/>
              <w:left w:val="single" w:sz="12" w:space="0" w:color="auto"/>
            </w:tcBorders>
            <w:shd w:val="clear" w:color="auto" w:fill="auto"/>
          </w:tcPr>
          <w:p w14:paraId="1B39B5C8" w14:textId="77777777" w:rsidR="002A310E" w:rsidRDefault="000F53BE" w:rsidP="00382AE3">
            <w:r>
              <w:t>Maatregelen rechtmatigheidsrisico’s</w:t>
            </w:r>
          </w:p>
        </w:tc>
        <w:tc>
          <w:tcPr>
            <w:tcW w:w="955" w:type="dxa"/>
            <w:tcBorders>
              <w:top w:val="single" w:sz="12" w:space="0" w:color="auto"/>
              <w:right w:val="single" w:sz="12" w:space="0" w:color="auto"/>
            </w:tcBorders>
            <w:shd w:val="clear" w:color="auto" w:fill="auto"/>
          </w:tcPr>
          <w:p w14:paraId="0FFF86D6" w14:textId="77777777" w:rsidR="002A310E" w:rsidRDefault="00461AC3" w:rsidP="00382AE3">
            <w:r>
              <w:t>3</w:t>
            </w:r>
          </w:p>
        </w:tc>
      </w:tr>
      <w:tr w:rsidR="002A310E" w14:paraId="3B85A506" w14:textId="77777777" w:rsidTr="00382AE3">
        <w:tc>
          <w:tcPr>
            <w:tcW w:w="6912" w:type="dxa"/>
            <w:tcBorders>
              <w:left w:val="single" w:sz="12" w:space="0" w:color="auto"/>
            </w:tcBorders>
            <w:shd w:val="clear" w:color="auto" w:fill="auto"/>
          </w:tcPr>
          <w:p w14:paraId="4FA93711" w14:textId="77777777" w:rsidR="002A310E" w:rsidRDefault="000F53BE" w:rsidP="00382AE3">
            <w:r>
              <w:t>Maatregelen doelmatigheidsrisico’s</w:t>
            </w:r>
          </w:p>
        </w:tc>
        <w:tc>
          <w:tcPr>
            <w:tcW w:w="955" w:type="dxa"/>
            <w:tcBorders>
              <w:right w:val="single" w:sz="12" w:space="0" w:color="auto"/>
            </w:tcBorders>
            <w:shd w:val="clear" w:color="auto" w:fill="auto"/>
          </w:tcPr>
          <w:p w14:paraId="29B262D1" w14:textId="77777777" w:rsidR="002A310E" w:rsidRDefault="007D2620" w:rsidP="00382AE3">
            <w:r>
              <w:t>3</w:t>
            </w:r>
          </w:p>
        </w:tc>
      </w:tr>
      <w:tr w:rsidR="002A310E" w14:paraId="11924FD3" w14:textId="77777777" w:rsidTr="00382AE3">
        <w:tc>
          <w:tcPr>
            <w:tcW w:w="6912" w:type="dxa"/>
            <w:tcBorders>
              <w:left w:val="single" w:sz="12" w:space="0" w:color="auto"/>
            </w:tcBorders>
            <w:shd w:val="clear" w:color="auto" w:fill="auto"/>
          </w:tcPr>
          <w:p w14:paraId="11189A65" w14:textId="77777777" w:rsidR="002A310E" w:rsidRDefault="000F53BE" w:rsidP="000F53BE">
            <w:r>
              <w:t xml:space="preserve">Anti-corruptiebeleid </w:t>
            </w:r>
          </w:p>
        </w:tc>
        <w:tc>
          <w:tcPr>
            <w:tcW w:w="955" w:type="dxa"/>
            <w:tcBorders>
              <w:right w:val="single" w:sz="12" w:space="0" w:color="auto"/>
            </w:tcBorders>
            <w:shd w:val="clear" w:color="auto" w:fill="auto"/>
          </w:tcPr>
          <w:p w14:paraId="77E7C58B" w14:textId="77777777" w:rsidR="002A310E" w:rsidRDefault="002168DA" w:rsidP="00382AE3">
            <w:r>
              <w:t>4</w:t>
            </w:r>
          </w:p>
        </w:tc>
      </w:tr>
      <w:tr w:rsidR="000F53BE" w14:paraId="6F40FEC7" w14:textId="77777777" w:rsidTr="00382AE3">
        <w:tc>
          <w:tcPr>
            <w:tcW w:w="6912" w:type="dxa"/>
            <w:tcBorders>
              <w:left w:val="single" w:sz="12" w:space="0" w:color="auto"/>
            </w:tcBorders>
            <w:shd w:val="clear" w:color="auto" w:fill="auto"/>
          </w:tcPr>
          <w:p w14:paraId="350CFB8A" w14:textId="77777777" w:rsidR="000F53BE" w:rsidRDefault="000F53BE" w:rsidP="00382AE3">
            <w:r>
              <w:t>Transparantie integriteitsschendingen</w:t>
            </w:r>
          </w:p>
        </w:tc>
        <w:tc>
          <w:tcPr>
            <w:tcW w:w="955" w:type="dxa"/>
            <w:tcBorders>
              <w:right w:val="single" w:sz="12" w:space="0" w:color="auto"/>
            </w:tcBorders>
            <w:shd w:val="clear" w:color="auto" w:fill="auto"/>
          </w:tcPr>
          <w:p w14:paraId="4E1AA537" w14:textId="77777777" w:rsidR="000F53BE" w:rsidRDefault="002668D1" w:rsidP="00382AE3">
            <w:r>
              <w:t>4</w:t>
            </w:r>
          </w:p>
        </w:tc>
      </w:tr>
      <w:tr w:rsidR="002A310E" w:rsidRPr="00EA0AA8" w14:paraId="347A7C88" w14:textId="77777777" w:rsidTr="00B06CE6">
        <w:tc>
          <w:tcPr>
            <w:tcW w:w="6912" w:type="dxa"/>
            <w:tcBorders>
              <w:top w:val="single" w:sz="12" w:space="0" w:color="auto"/>
              <w:left w:val="single" w:sz="12" w:space="0" w:color="auto"/>
              <w:bottom w:val="single" w:sz="12" w:space="0" w:color="auto"/>
            </w:tcBorders>
            <w:shd w:val="clear" w:color="auto" w:fill="D0CECE"/>
          </w:tcPr>
          <w:p w14:paraId="2B7B034B" w14:textId="77777777" w:rsidR="002A310E" w:rsidRPr="00EA0AA8" w:rsidRDefault="002A310E"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293A1669" w14:textId="77777777" w:rsidR="002A310E" w:rsidRPr="00EA0AA8" w:rsidRDefault="00D47F8D" w:rsidP="00382AE3">
            <w:pPr>
              <w:rPr>
                <w:b/>
              </w:rPr>
            </w:pPr>
            <w:r>
              <w:rPr>
                <w:b/>
              </w:rPr>
              <w:t>4</w:t>
            </w:r>
          </w:p>
        </w:tc>
      </w:tr>
    </w:tbl>
    <w:p w14:paraId="5A0844B2" w14:textId="77777777" w:rsidR="00363EB5" w:rsidRDefault="00363EB5" w:rsidP="00D32F98"/>
    <w:p w14:paraId="0A4051F6" w14:textId="77777777" w:rsidR="00E20A86" w:rsidRDefault="00D32F98" w:rsidP="00784329">
      <w:pPr>
        <w:ind w:firstLine="227"/>
      </w:pPr>
      <w:r w:rsidRPr="00193994">
        <w:t>Ver</w:t>
      </w:r>
      <w:r>
        <w:t>andering sinds 2015: neutraal</w:t>
      </w:r>
      <w:r w:rsidRPr="00193994">
        <w:t xml:space="preserve"> = </w:t>
      </w:r>
      <w:r w:rsidRPr="00193994">
        <w:sym w:font="Wingdings" w:char="F0E8"/>
      </w:r>
    </w:p>
    <w:p w14:paraId="6094F00E" w14:textId="46C76D62" w:rsidR="009534EF" w:rsidRDefault="00784329" w:rsidP="004D372F">
      <w:pPr>
        <w:pStyle w:val="Heading1"/>
        <w:tabs>
          <w:tab w:val="num" w:pos="0"/>
        </w:tabs>
        <w:spacing w:after="240" w:line="240" w:lineRule="auto"/>
        <w:ind w:hanging="1162"/>
      </w:pPr>
      <w:bookmarkStart w:id="45" w:name="_Toc491421111"/>
      <w:r>
        <w:lastRenderedPageBreak/>
        <w:t>5</w:t>
      </w:r>
      <w:r w:rsidR="004D372F">
        <w:t xml:space="preserve"> </w:t>
      </w:r>
      <w:r w:rsidR="004D372F">
        <w:tab/>
      </w:r>
      <w:bookmarkStart w:id="46" w:name="_Toc348364679"/>
      <w:r w:rsidR="008409AE">
        <w:t>R</w:t>
      </w:r>
      <w:r w:rsidR="009534EF">
        <w:t>elevantie van de organisatie</w:t>
      </w:r>
      <w:bookmarkEnd w:id="46"/>
      <w:bookmarkEnd w:id="45"/>
    </w:p>
    <w:p w14:paraId="6BBC3505" w14:textId="1628A4DC" w:rsidR="006E60A2" w:rsidRDefault="006E60A2" w:rsidP="006E60A2">
      <w:r>
        <w:t>Dit hoofdstuk behandelt de relevantie van de organisatie voor de Nederlandse BHOS-prioriteiten. Hierbij wordt een driedeling gemaakt: een organisatie is relevant voor een BHOS-thema indien van direct belang voor een beleidsonderwerp, een organisatie is beperkt relevant als hij deels of indirect van belang is voor het beleidsonderwerp of een organisatie is niet relevant als hij niet van belang is voor het beleidsonderwerp. Ten aanzien van het thema gender geldt dat een organisatie ook als relevant is aangemerkt wanneer het gender in substantiële mate toepast als dwarsdoorsnijdend thema. Het presteren van de organisatie op de relevante thema’s wordt vervolgens gescoord op uitvoerende, normerende of coördinerende activiteiten op dat thema.</w:t>
      </w:r>
    </w:p>
    <w:p w14:paraId="30494851" w14:textId="77777777" w:rsidR="00C661FC" w:rsidRPr="006E60A2" w:rsidRDefault="00C661FC" w:rsidP="006E60A2"/>
    <w:p w14:paraId="4CCA30F0" w14:textId="30142463" w:rsidR="0027051F" w:rsidRPr="004D372F" w:rsidRDefault="00784329" w:rsidP="0008255C">
      <w:pPr>
        <w:pStyle w:val="Heading2"/>
        <w:tabs>
          <w:tab w:val="left" w:pos="-1162"/>
          <w:tab w:val="left" w:pos="0"/>
        </w:tabs>
        <w:spacing w:line="240" w:lineRule="auto"/>
        <w:ind w:hanging="1134"/>
      </w:pPr>
      <w:bookmarkStart w:id="47" w:name="_Toc491421112"/>
      <w:r>
        <w:t>5</w:t>
      </w:r>
      <w:r w:rsidR="0027051F">
        <w:t xml:space="preserve">.1 </w:t>
      </w:r>
      <w:r w:rsidR="0008255C">
        <w:tab/>
      </w:r>
      <w:r w:rsidR="0027051F">
        <w:t>Relevantie voor Nederlandse BHOS-prioriteiten</w:t>
      </w:r>
      <w:bookmarkEnd w:id="47"/>
    </w:p>
    <w:p w14:paraId="03C43797" w14:textId="398B539E" w:rsidR="00322704" w:rsidRDefault="00322704" w:rsidP="00730D14">
      <w:r w:rsidRPr="00784329">
        <w:rPr>
          <w:u w:val="single"/>
        </w:rPr>
        <w:t>Voedselzekerheid</w:t>
      </w:r>
      <w:r w:rsidR="00AA719B" w:rsidRPr="00784329">
        <w:rPr>
          <w:u w:val="single"/>
        </w:rPr>
        <w:br/>
      </w:r>
      <w:r w:rsidR="00AA719B" w:rsidRPr="00784329">
        <w:rPr>
          <w:i/>
        </w:rPr>
        <w:t>Relevant</w:t>
      </w:r>
      <w:r w:rsidR="00A33725">
        <w:t>.</w:t>
      </w:r>
      <w:r w:rsidR="00AA719B" w:rsidRPr="00A33725">
        <w:t xml:space="preserve"> </w:t>
      </w:r>
      <w:r w:rsidR="0067384A">
        <w:t>Het promoten van goede voeding en internationale voedselstandaarden is vastgelegd in de constitutie van de WHO.</w:t>
      </w:r>
      <w:r w:rsidR="00AE6CA2">
        <w:t xml:space="preserve"> </w:t>
      </w:r>
      <w:r w:rsidR="00794A5D">
        <w:t xml:space="preserve">Samen </w:t>
      </w:r>
      <w:r>
        <w:t xml:space="preserve">met de FAO </w:t>
      </w:r>
      <w:r w:rsidR="00794A5D">
        <w:t xml:space="preserve">werkt de WHO </w:t>
      </w:r>
      <w:r>
        <w:t>aan standaarden en richtlijnen</w:t>
      </w:r>
      <w:r w:rsidR="00794A5D">
        <w:t xml:space="preserve"> (Codex Alimentarius) </w:t>
      </w:r>
      <w:r>
        <w:t>voor eerlijke handel in voedsel en aan voedselstandaarden om de voedselkwaliteit</w:t>
      </w:r>
      <w:r w:rsidR="00247486">
        <w:t xml:space="preserve"> en voedselveiligheid</w:t>
      </w:r>
      <w:r>
        <w:t xml:space="preserve"> te vergroten.</w:t>
      </w:r>
      <w:r w:rsidR="00AD2700">
        <w:t xml:space="preserve"> </w:t>
      </w:r>
      <w:r w:rsidR="00586441">
        <w:t xml:space="preserve">Met de Codex Alimentarius draagt de WHO bij aan verhoogde voedselzekerheid en –veiligheid op mondiaal niveau. Daarnaast krijgen ontwikkelings- en overgangslanden een verbeterde toegang tot de internationale voedselmarkt. </w:t>
      </w:r>
      <w:r w:rsidR="00BE6A57">
        <w:t>Het werk van de WHO op dit gebied bestaat o.a. uit</w:t>
      </w:r>
      <w:r w:rsidR="00247486">
        <w:t xml:space="preserve"> gegeven adviezen </w:t>
      </w:r>
      <w:r w:rsidR="00156241">
        <w:t xml:space="preserve">en beoordelingen </w:t>
      </w:r>
      <w:r w:rsidR="00247486">
        <w:t>aan lidstaten over nieuwe technologieën, maar ook beoordelingen</w:t>
      </w:r>
      <w:r w:rsidR="004154E5">
        <w:t xml:space="preserve"> en financiering</w:t>
      </w:r>
      <w:r w:rsidR="00247486">
        <w:t xml:space="preserve"> van nationale activiteiten en initiatieven op dit gebied.</w:t>
      </w:r>
      <w:r w:rsidR="001351AB">
        <w:t xml:space="preserve"> </w:t>
      </w:r>
    </w:p>
    <w:p w14:paraId="19954B83" w14:textId="77777777" w:rsidR="00322704" w:rsidRDefault="00322704" w:rsidP="00730D14"/>
    <w:p w14:paraId="0F7EA826" w14:textId="45EC795E" w:rsidR="002668D1" w:rsidRPr="00784329" w:rsidRDefault="00322704" w:rsidP="00946EF9">
      <w:pPr>
        <w:rPr>
          <w:u w:val="single"/>
        </w:rPr>
      </w:pPr>
      <w:r w:rsidRPr="00784329">
        <w:rPr>
          <w:u w:val="single"/>
        </w:rPr>
        <w:t>Water</w:t>
      </w:r>
    </w:p>
    <w:p w14:paraId="09057F31" w14:textId="15789FA6" w:rsidR="00235C2A" w:rsidRDefault="003E4894" w:rsidP="00946EF9">
      <w:r w:rsidRPr="00784329">
        <w:rPr>
          <w:i/>
        </w:rPr>
        <w:t>R</w:t>
      </w:r>
      <w:r w:rsidR="00322704" w:rsidRPr="00784329">
        <w:rPr>
          <w:i/>
        </w:rPr>
        <w:t>elevant</w:t>
      </w:r>
      <w:r w:rsidR="00A33725">
        <w:t>.</w:t>
      </w:r>
      <w:r w:rsidR="00322704">
        <w:t xml:space="preserve"> De WHO </w:t>
      </w:r>
      <w:r w:rsidR="00F700CE">
        <w:t>wordt door Nederland ondersteund</w:t>
      </w:r>
      <w:r>
        <w:t xml:space="preserve"> bij een samenwerkingsprogramma </w:t>
      </w:r>
      <w:r w:rsidR="00322704">
        <w:t xml:space="preserve">met UNICEF op het gebied van water en </w:t>
      </w:r>
      <w:proofErr w:type="spellStart"/>
      <w:r w:rsidR="00322704">
        <w:t>sanitatie</w:t>
      </w:r>
      <w:proofErr w:type="spellEnd"/>
      <w:r w:rsidR="00322704">
        <w:t xml:space="preserve"> (</w:t>
      </w:r>
      <w:r w:rsidR="00322704" w:rsidRPr="00B70A2A">
        <w:rPr>
          <w:i/>
        </w:rPr>
        <w:t xml:space="preserve">Joint Monitoring </w:t>
      </w:r>
      <w:proofErr w:type="spellStart"/>
      <w:r w:rsidR="00322704" w:rsidRPr="00B70A2A">
        <w:rPr>
          <w:i/>
        </w:rPr>
        <w:t>Programme</w:t>
      </w:r>
      <w:proofErr w:type="spellEnd"/>
      <w:r w:rsidR="00F700CE">
        <w:t xml:space="preserve">) en is </w:t>
      </w:r>
      <w:r w:rsidR="00322704">
        <w:t xml:space="preserve">betrokken bij het </w:t>
      </w:r>
      <w:r w:rsidR="00322704" w:rsidRPr="00B70A2A">
        <w:rPr>
          <w:i/>
        </w:rPr>
        <w:t xml:space="preserve">Global </w:t>
      </w:r>
      <w:proofErr w:type="spellStart"/>
      <w:r w:rsidR="00322704" w:rsidRPr="00B70A2A">
        <w:rPr>
          <w:i/>
        </w:rPr>
        <w:t>Annual</w:t>
      </w:r>
      <w:proofErr w:type="spellEnd"/>
      <w:r w:rsidR="00322704" w:rsidRPr="00B70A2A">
        <w:rPr>
          <w:i/>
        </w:rPr>
        <w:t xml:space="preserve"> Assessment of </w:t>
      </w:r>
      <w:proofErr w:type="spellStart"/>
      <w:r w:rsidR="00322704" w:rsidRPr="00B70A2A">
        <w:rPr>
          <w:i/>
        </w:rPr>
        <w:t>Sanitation</w:t>
      </w:r>
      <w:proofErr w:type="spellEnd"/>
      <w:r w:rsidR="00322704" w:rsidRPr="00B70A2A">
        <w:rPr>
          <w:i/>
        </w:rPr>
        <w:t xml:space="preserve"> </w:t>
      </w:r>
      <w:proofErr w:type="spellStart"/>
      <w:r w:rsidR="00322704" w:rsidRPr="00B70A2A">
        <w:rPr>
          <w:i/>
        </w:rPr>
        <w:t>and</w:t>
      </w:r>
      <w:proofErr w:type="spellEnd"/>
      <w:r w:rsidR="00322704" w:rsidRPr="00B70A2A">
        <w:rPr>
          <w:i/>
        </w:rPr>
        <w:t xml:space="preserve"> </w:t>
      </w:r>
      <w:proofErr w:type="spellStart"/>
      <w:r w:rsidR="00322704" w:rsidRPr="00B70A2A">
        <w:rPr>
          <w:i/>
        </w:rPr>
        <w:t>Drinking</w:t>
      </w:r>
      <w:proofErr w:type="spellEnd"/>
      <w:r w:rsidR="00322704" w:rsidRPr="00B70A2A">
        <w:rPr>
          <w:i/>
        </w:rPr>
        <w:t xml:space="preserve">-Water </w:t>
      </w:r>
      <w:proofErr w:type="spellStart"/>
      <w:r w:rsidR="00322704" w:rsidRPr="00B70A2A">
        <w:rPr>
          <w:i/>
        </w:rPr>
        <w:t>initiative</w:t>
      </w:r>
      <w:proofErr w:type="spellEnd"/>
      <w:r w:rsidR="00322704">
        <w:t xml:space="preserve"> (GLAAS). De WHO is minder relevant met betrekking tot waterbeheer.</w:t>
      </w:r>
      <w:r w:rsidR="00133B50">
        <w:t xml:space="preserve"> Concrete </w:t>
      </w:r>
      <w:r w:rsidR="00BE6A57">
        <w:t xml:space="preserve">output van </w:t>
      </w:r>
      <w:r w:rsidR="00133B50">
        <w:t xml:space="preserve">de WHO zijn de </w:t>
      </w:r>
      <w:r w:rsidR="00133B50" w:rsidRPr="00F32F5B">
        <w:rPr>
          <w:i/>
        </w:rPr>
        <w:t xml:space="preserve">WHO </w:t>
      </w:r>
      <w:proofErr w:type="spellStart"/>
      <w:r w:rsidR="00133B50" w:rsidRPr="00F32F5B">
        <w:rPr>
          <w:i/>
        </w:rPr>
        <w:t>Guidelines</w:t>
      </w:r>
      <w:proofErr w:type="spellEnd"/>
      <w:r w:rsidR="00133B50" w:rsidRPr="00F32F5B">
        <w:rPr>
          <w:i/>
        </w:rPr>
        <w:t xml:space="preserve"> </w:t>
      </w:r>
      <w:proofErr w:type="spellStart"/>
      <w:r w:rsidR="00133B50" w:rsidRPr="00F32F5B">
        <w:rPr>
          <w:i/>
        </w:rPr>
        <w:t>for</w:t>
      </w:r>
      <w:proofErr w:type="spellEnd"/>
      <w:r w:rsidR="00133B50" w:rsidRPr="00F32F5B">
        <w:rPr>
          <w:i/>
        </w:rPr>
        <w:t xml:space="preserve"> </w:t>
      </w:r>
      <w:proofErr w:type="spellStart"/>
      <w:r w:rsidR="00133B50" w:rsidRPr="00F32F5B">
        <w:rPr>
          <w:i/>
        </w:rPr>
        <w:t>Drinking</w:t>
      </w:r>
      <w:proofErr w:type="spellEnd"/>
      <w:r w:rsidR="00133B50" w:rsidRPr="00F32F5B">
        <w:rPr>
          <w:i/>
        </w:rPr>
        <w:t xml:space="preserve">-water </w:t>
      </w:r>
      <w:proofErr w:type="spellStart"/>
      <w:r w:rsidR="00133B50" w:rsidRPr="00F32F5B">
        <w:rPr>
          <w:i/>
        </w:rPr>
        <w:t>Quality</w:t>
      </w:r>
      <w:proofErr w:type="spellEnd"/>
      <w:r w:rsidR="00BE6A57">
        <w:t>.</w:t>
      </w:r>
      <w:r w:rsidR="00FA7596">
        <w:t xml:space="preserve"> Verder pleit de WHO er </w:t>
      </w:r>
      <w:r w:rsidR="00E72ADA">
        <w:t>o.a. voor (vooral op regionaal niveau)</w:t>
      </w:r>
      <w:r w:rsidR="00FA7596">
        <w:t xml:space="preserve"> dat lidstaten </w:t>
      </w:r>
      <w:r w:rsidR="00FA7596" w:rsidRPr="00F32F5B">
        <w:rPr>
          <w:i/>
        </w:rPr>
        <w:t>Water Safety</w:t>
      </w:r>
      <w:r w:rsidR="00FA7596">
        <w:t xml:space="preserve"> plannen implementeren, onderdeel van deze campagne zijn case studies die de WHO maakt in landen waar </w:t>
      </w:r>
      <w:r w:rsidR="00FA7596" w:rsidRPr="00F32F5B">
        <w:rPr>
          <w:i/>
        </w:rPr>
        <w:t>Water Safety</w:t>
      </w:r>
      <w:r w:rsidR="00FA7596">
        <w:t xml:space="preserve"> plannen worden geïmplementeerd.</w:t>
      </w:r>
    </w:p>
    <w:p w14:paraId="32ED35EC" w14:textId="77777777" w:rsidR="00235C2A" w:rsidRDefault="00235C2A" w:rsidP="00946EF9"/>
    <w:p w14:paraId="69E38FAB" w14:textId="3B86ECB1" w:rsidR="00541C09" w:rsidRDefault="00322704" w:rsidP="00946EF9">
      <w:r w:rsidRPr="00784329">
        <w:rPr>
          <w:u w:val="single"/>
        </w:rPr>
        <w:t xml:space="preserve">Seksuele en Reproductieve Gezondheid en Rechten (SRGR), </w:t>
      </w:r>
      <w:r w:rsidR="00784329">
        <w:rPr>
          <w:u w:val="single"/>
        </w:rPr>
        <w:t>incl. HIV/A</w:t>
      </w:r>
      <w:r w:rsidRPr="00784329">
        <w:rPr>
          <w:u w:val="single"/>
        </w:rPr>
        <w:t>ids</w:t>
      </w:r>
      <w:r w:rsidRPr="00784329">
        <w:rPr>
          <w:u w:val="single"/>
        </w:rPr>
        <w:br/>
      </w:r>
      <w:r w:rsidRPr="00784329">
        <w:rPr>
          <w:i/>
        </w:rPr>
        <w:t>Relevant</w:t>
      </w:r>
      <w:r w:rsidR="00235C2A" w:rsidRPr="00784329">
        <w:rPr>
          <w:i/>
        </w:rPr>
        <w:t>.</w:t>
      </w:r>
      <w:r w:rsidR="00235C2A">
        <w:t xml:space="preserve"> </w:t>
      </w:r>
      <w:r>
        <w:t>De WHO is van groot belang voor het ontwikkelen van normen, standaarden en protocollen voor SRGR.</w:t>
      </w:r>
      <w:r w:rsidR="003E4894">
        <w:t xml:space="preserve"> Recente v</w:t>
      </w:r>
      <w:r w:rsidR="00E935D1">
        <w:t>oorbeelden hiervan zijn</w:t>
      </w:r>
      <w:r w:rsidR="00AE6CA2">
        <w:t xml:space="preserve"> </w:t>
      </w:r>
      <w:r>
        <w:t>technische en beleidsrichtlijnen voor veilige abortus</w:t>
      </w:r>
      <w:r w:rsidR="003E4894">
        <w:t xml:space="preserve">; </w:t>
      </w:r>
      <w:r w:rsidR="00E935D1" w:rsidRPr="00C46249">
        <w:t>actieplan</w:t>
      </w:r>
      <w:r w:rsidR="00E935D1">
        <w:t xml:space="preserve"> tegen geweld tegen vrouwen</w:t>
      </w:r>
      <w:r w:rsidR="003E4894">
        <w:t>;</w:t>
      </w:r>
      <w:r w:rsidR="00E935D1">
        <w:t xml:space="preserve"> globale strategie op gebied van </w:t>
      </w:r>
      <w:r w:rsidR="003E4894">
        <w:t>seksueel</w:t>
      </w:r>
      <w:r w:rsidR="00E935D1">
        <w:t xml:space="preserve"> overdraagbare aandoeningen</w:t>
      </w:r>
      <w:r w:rsidR="00873189">
        <w:t>;</w:t>
      </w:r>
      <w:r w:rsidR="00C5090D">
        <w:t xml:space="preserve"> </w:t>
      </w:r>
      <w:r w:rsidR="003E4894">
        <w:t>de mondiale strategie voor vrouwen, kinderen en adolescenten gezondheid</w:t>
      </w:r>
      <w:r w:rsidR="00C5090D">
        <w:t xml:space="preserve"> en</w:t>
      </w:r>
      <w:r w:rsidR="00E935D1">
        <w:t xml:space="preserve"> richtlijnen rondom preventie van </w:t>
      </w:r>
      <w:proofErr w:type="spellStart"/>
      <w:r w:rsidR="00E935D1">
        <w:t>Zika</w:t>
      </w:r>
      <w:proofErr w:type="spellEnd"/>
      <w:r w:rsidR="003E4894">
        <w:t xml:space="preserve">. </w:t>
      </w:r>
      <w:r w:rsidR="00873189" w:rsidRPr="00873189">
        <w:t xml:space="preserve">De </w:t>
      </w:r>
      <w:r w:rsidR="003E4894" w:rsidRPr="00873189">
        <w:t xml:space="preserve">WHO </w:t>
      </w:r>
      <w:r w:rsidR="00873189" w:rsidRPr="002668D1">
        <w:t>wer</w:t>
      </w:r>
      <w:r w:rsidR="00873189">
        <w:t>kt ook aan richtlijnen en het geven van meer aandacht aan</w:t>
      </w:r>
      <w:r w:rsidR="003E4894">
        <w:t xml:space="preserve"> </w:t>
      </w:r>
      <w:r w:rsidR="00E935D1" w:rsidRPr="003E4894">
        <w:t>SRGR in humanitaire</w:t>
      </w:r>
      <w:r w:rsidR="003E4894">
        <w:t xml:space="preserve"> </w:t>
      </w:r>
      <w:r w:rsidR="003E4894" w:rsidRPr="00873189">
        <w:t>crise</w:t>
      </w:r>
      <w:r w:rsidR="00873189">
        <w:t>s</w:t>
      </w:r>
      <w:r w:rsidR="00541C09" w:rsidRPr="003E4894">
        <w:t>.</w:t>
      </w:r>
      <w:r w:rsidR="00BF24B3" w:rsidRPr="003E4894">
        <w:t xml:space="preserve"> </w:t>
      </w:r>
    </w:p>
    <w:p w14:paraId="42331625" w14:textId="77777777" w:rsidR="00A33725" w:rsidRPr="003E4894" w:rsidRDefault="00A33725" w:rsidP="00946EF9"/>
    <w:p w14:paraId="5A0B774D" w14:textId="4DA84A41" w:rsidR="00C5090D" w:rsidRDefault="00322704" w:rsidP="00C5090D">
      <w:r w:rsidRPr="000C4DA6">
        <w:t xml:space="preserve">WHO heeft de afgelopen jaren </w:t>
      </w:r>
      <w:r w:rsidR="002668D1">
        <w:t>verder</w:t>
      </w:r>
      <w:r w:rsidR="00CA0547">
        <w:t xml:space="preserve"> </w:t>
      </w:r>
      <w:r w:rsidRPr="000C4DA6">
        <w:t>veel werk verzet op het gebied van gezondheid</w:t>
      </w:r>
      <w:r w:rsidR="3C23247D" w:rsidRPr="000C4DA6">
        <w:t xml:space="preserve"> en </w:t>
      </w:r>
      <w:r w:rsidRPr="000C4DA6">
        <w:t xml:space="preserve">adolescentie, waarbinnen </w:t>
      </w:r>
      <w:r>
        <w:t>S</w:t>
      </w:r>
      <w:r w:rsidR="002668D1">
        <w:t xml:space="preserve">RGR een belangrijk element is. </w:t>
      </w:r>
      <w:r w:rsidR="3C23247D">
        <w:t xml:space="preserve">De WHO speelt een centrale rol in het werk rondom </w:t>
      </w:r>
      <w:r w:rsidR="00AC276A">
        <w:t xml:space="preserve">het </w:t>
      </w:r>
      <w:r w:rsidR="3C23247D">
        <w:t xml:space="preserve">versterken van gezondheidssystemen en </w:t>
      </w:r>
      <w:r w:rsidR="00B91362">
        <w:t>coördineren</w:t>
      </w:r>
      <w:r w:rsidR="3C23247D">
        <w:t xml:space="preserve"> van inzet van de internationale gemeenschap op gezondheid - beide belangrijke randvoorwaarden voor te behalen resultaten op SRGR. </w:t>
      </w:r>
      <w:r>
        <w:t xml:space="preserve">Ook </w:t>
      </w:r>
      <w:r w:rsidR="00D47F8D">
        <w:t xml:space="preserve">huisvest de </w:t>
      </w:r>
      <w:r>
        <w:t xml:space="preserve">WHO </w:t>
      </w:r>
      <w:r w:rsidR="3C23247D">
        <w:t>enkel</w:t>
      </w:r>
      <w:r>
        <w:t xml:space="preserve">e SRGR onderzoeksprogramma’s </w:t>
      </w:r>
      <w:r w:rsidR="3C23247D">
        <w:t xml:space="preserve">en partnerschappen, </w:t>
      </w:r>
      <w:r>
        <w:t xml:space="preserve">waaronder </w:t>
      </w:r>
      <w:r w:rsidRPr="000C4DA6">
        <w:rPr>
          <w:i/>
        </w:rPr>
        <w:t xml:space="preserve">Human </w:t>
      </w:r>
      <w:proofErr w:type="spellStart"/>
      <w:r w:rsidRPr="000C4DA6">
        <w:rPr>
          <w:i/>
        </w:rPr>
        <w:t>Reproduction</w:t>
      </w:r>
      <w:proofErr w:type="spellEnd"/>
      <w:r w:rsidRPr="000C4DA6">
        <w:rPr>
          <w:i/>
        </w:rPr>
        <w:t xml:space="preserve"> </w:t>
      </w:r>
      <w:proofErr w:type="spellStart"/>
      <w:r w:rsidRPr="000C4DA6">
        <w:rPr>
          <w:i/>
        </w:rPr>
        <w:t>Programme</w:t>
      </w:r>
      <w:proofErr w:type="spellEnd"/>
      <w:r>
        <w:t xml:space="preserve"> </w:t>
      </w:r>
      <w:r w:rsidR="00E935D1">
        <w:t xml:space="preserve">(HRP) </w:t>
      </w:r>
      <w:r>
        <w:t xml:space="preserve">en </w:t>
      </w:r>
      <w:r w:rsidRPr="000C4DA6">
        <w:rPr>
          <w:i/>
        </w:rPr>
        <w:t xml:space="preserve">Partnership </w:t>
      </w:r>
      <w:proofErr w:type="spellStart"/>
      <w:r w:rsidRPr="000C4DA6">
        <w:rPr>
          <w:i/>
        </w:rPr>
        <w:t>for</w:t>
      </w:r>
      <w:proofErr w:type="spellEnd"/>
      <w:r w:rsidRPr="000C4DA6">
        <w:rPr>
          <w:i/>
        </w:rPr>
        <w:t xml:space="preserve"> </w:t>
      </w:r>
      <w:proofErr w:type="spellStart"/>
      <w:r w:rsidRPr="000C4DA6">
        <w:rPr>
          <w:i/>
        </w:rPr>
        <w:t>Maternal</w:t>
      </w:r>
      <w:proofErr w:type="spellEnd"/>
      <w:r w:rsidRPr="000C4DA6">
        <w:rPr>
          <w:i/>
        </w:rPr>
        <w:t xml:space="preserve">, </w:t>
      </w:r>
      <w:proofErr w:type="spellStart"/>
      <w:r w:rsidRPr="000C4DA6">
        <w:rPr>
          <w:i/>
        </w:rPr>
        <w:t>Newborn</w:t>
      </w:r>
      <w:proofErr w:type="spellEnd"/>
      <w:r w:rsidRPr="000C4DA6">
        <w:rPr>
          <w:i/>
        </w:rPr>
        <w:t xml:space="preserve"> </w:t>
      </w:r>
      <w:proofErr w:type="spellStart"/>
      <w:r w:rsidRPr="000C4DA6">
        <w:rPr>
          <w:i/>
        </w:rPr>
        <w:t>and</w:t>
      </w:r>
      <w:proofErr w:type="spellEnd"/>
      <w:r w:rsidRPr="000C4DA6">
        <w:rPr>
          <w:i/>
        </w:rPr>
        <w:t xml:space="preserve"> Child Health</w:t>
      </w:r>
      <w:r>
        <w:t xml:space="preserve"> </w:t>
      </w:r>
      <w:r w:rsidR="00E935D1">
        <w:t xml:space="preserve">(PMNCH) </w:t>
      </w:r>
      <w:r>
        <w:t xml:space="preserve">die beide </w:t>
      </w:r>
      <w:r w:rsidR="00C5090D">
        <w:t>door N</w:t>
      </w:r>
      <w:r w:rsidR="00873189">
        <w:t>ederland gesteund en gewa</w:t>
      </w:r>
      <w:r w:rsidR="00D3465B">
        <w:t>a</w:t>
      </w:r>
      <w:r w:rsidR="00873189">
        <w:t xml:space="preserve">rdeerd worden. </w:t>
      </w:r>
      <w:r>
        <w:br/>
      </w:r>
      <w:r>
        <w:lastRenderedPageBreak/>
        <w:br/>
      </w:r>
      <w:r w:rsidRPr="00784329">
        <w:rPr>
          <w:u w:val="single"/>
        </w:rPr>
        <w:t>Gendergelijkheid</w:t>
      </w:r>
      <w:r w:rsidRPr="00784329">
        <w:rPr>
          <w:u w:val="single"/>
        </w:rPr>
        <w:br/>
      </w:r>
      <w:r w:rsidRPr="00784329">
        <w:rPr>
          <w:i/>
        </w:rPr>
        <w:t>Relevant</w:t>
      </w:r>
      <w:r w:rsidR="00A33725">
        <w:t>.</w:t>
      </w:r>
      <w:r>
        <w:t xml:space="preserve"> Gender is zowel in het kader van het speerpunt SRGR </w:t>
      </w:r>
      <w:r w:rsidRPr="000B0B6A">
        <w:t xml:space="preserve">als in het bredere kader van vrouwenrechten en empowerment van vrouwen en meisjes </w:t>
      </w:r>
      <w:r>
        <w:t xml:space="preserve">relevant voor de WHO. </w:t>
      </w:r>
      <w:r w:rsidRPr="000B0B6A">
        <w:t xml:space="preserve">Het houdt direct verband met het mandaat van de WHO zoals vastgelegd in artikel 1 van de constitutie. </w:t>
      </w:r>
      <w:r>
        <w:t xml:space="preserve">Meer specifiek speelt de WHO een rol in de </w:t>
      </w:r>
      <w:r w:rsidRPr="000B0B6A">
        <w:t xml:space="preserve">preventie en </w:t>
      </w:r>
      <w:r>
        <w:t>aanpak van de gezondheidsaspecten van seksueel en huiselijk geweld tegen vrouwen. Dit geldt ook voor traditionele praktijken die schadelijk zijn voor de gezondheid van vrouwen, zoals vrouwenbesnijdenis</w:t>
      </w:r>
      <w:r w:rsidRPr="000B0B6A">
        <w:t xml:space="preserve"> en </w:t>
      </w:r>
      <w:r w:rsidR="00546466" w:rsidRPr="000B0B6A">
        <w:t>kind huwelijken</w:t>
      </w:r>
      <w:r>
        <w:t>. Op institutioneel vlak streeft de WHO naar het integreren van gender, gelijkheid en mensenrechten in al haar activiteiten</w:t>
      </w:r>
      <w:r w:rsidR="007F5843">
        <w:t xml:space="preserve">, dit doet de WHO o.a. door het programma </w:t>
      </w:r>
      <w:r w:rsidR="007F5843" w:rsidRPr="00546466">
        <w:rPr>
          <w:i/>
        </w:rPr>
        <w:t xml:space="preserve">Gender, </w:t>
      </w:r>
      <w:proofErr w:type="spellStart"/>
      <w:r w:rsidR="007F5843" w:rsidRPr="00546466">
        <w:rPr>
          <w:i/>
        </w:rPr>
        <w:t>Equity</w:t>
      </w:r>
      <w:proofErr w:type="spellEnd"/>
      <w:r w:rsidR="007F5843" w:rsidRPr="00546466">
        <w:rPr>
          <w:i/>
        </w:rPr>
        <w:t xml:space="preserve"> </w:t>
      </w:r>
      <w:proofErr w:type="spellStart"/>
      <w:r w:rsidR="007F5843" w:rsidRPr="00546466">
        <w:rPr>
          <w:i/>
        </w:rPr>
        <w:t>and</w:t>
      </w:r>
      <w:proofErr w:type="spellEnd"/>
      <w:r w:rsidR="007F5843" w:rsidRPr="00546466">
        <w:rPr>
          <w:i/>
        </w:rPr>
        <w:t xml:space="preserve"> </w:t>
      </w:r>
      <w:proofErr w:type="spellStart"/>
      <w:r w:rsidR="007F5843" w:rsidRPr="00546466">
        <w:rPr>
          <w:i/>
        </w:rPr>
        <w:t>Rights</w:t>
      </w:r>
      <w:proofErr w:type="spellEnd"/>
      <w:r w:rsidR="00315F83">
        <w:t xml:space="preserve"> (GER)</w:t>
      </w:r>
      <w:r w:rsidR="007F5843">
        <w:t xml:space="preserve">, waarvoor de WHO een </w:t>
      </w:r>
      <w:proofErr w:type="spellStart"/>
      <w:r w:rsidR="007F5843" w:rsidRPr="00546466">
        <w:rPr>
          <w:i/>
        </w:rPr>
        <w:t>Roadmap</w:t>
      </w:r>
      <w:proofErr w:type="spellEnd"/>
      <w:r w:rsidR="007F5843" w:rsidRPr="00546466">
        <w:rPr>
          <w:i/>
        </w:rPr>
        <w:t xml:space="preserve"> 2014-2019</w:t>
      </w:r>
      <w:r w:rsidR="007F5843">
        <w:t xml:space="preserve"> </w:t>
      </w:r>
      <w:r w:rsidR="00B91362">
        <w:t xml:space="preserve">ontwikkeld </w:t>
      </w:r>
      <w:r w:rsidR="007F5843">
        <w:t>heeft</w:t>
      </w:r>
      <w:r>
        <w:t>.</w:t>
      </w:r>
      <w:r w:rsidR="00C5090D">
        <w:t xml:space="preserve"> </w:t>
      </w:r>
      <w:proofErr w:type="spellStart"/>
      <w:r w:rsidR="00315F83">
        <w:t>Één</w:t>
      </w:r>
      <w:proofErr w:type="spellEnd"/>
      <w:r w:rsidR="00315F83">
        <w:t xml:space="preserve"> van de onderdelen hiervan is dat de WHO ook de lidstaten, op hun verzoek, ondersteunt bij het integreren van in nationale gezondheidsplannen. Daarnaast heeft de WHO voor haar eigen staf een handboek ontwikkel</w:t>
      </w:r>
      <w:r w:rsidR="00AC276A">
        <w:t>d</w:t>
      </w:r>
      <w:r w:rsidR="00315F83">
        <w:t xml:space="preserve"> over hoe GER-aspecten geïntegreerd kunnen worden in alle adviezen en standaarden van de organisatie op alle gezondheidsterreinen (anders gezegd, </w:t>
      </w:r>
      <w:proofErr w:type="spellStart"/>
      <w:r w:rsidR="00315F83">
        <w:t>mainstreaming</w:t>
      </w:r>
      <w:proofErr w:type="spellEnd"/>
      <w:r w:rsidR="00315F83">
        <w:t xml:space="preserve"> GER in beleid)</w:t>
      </w:r>
      <w:r w:rsidR="00AC276A">
        <w:t>.</w:t>
      </w:r>
      <w:r w:rsidR="00315F83">
        <w:t xml:space="preserve"> </w:t>
      </w:r>
      <w:r w:rsidR="00C5090D">
        <w:t xml:space="preserve">De WHO heeft samen met OHCHR een </w:t>
      </w:r>
      <w:r w:rsidR="00C5090D" w:rsidRPr="00546466">
        <w:rPr>
          <w:i/>
        </w:rPr>
        <w:t xml:space="preserve">Health </w:t>
      </w:r>
      <w:proofErr w:type="spellStart"/>
      <w:r w:rsidR="00C5090D" w:rsidRPr="00546466">
        <w:rPr>
          <w:i/>
        </w:rPr>
        <w:t>and</w:t>
      </w:r>
      <w:proofErr w:type="spellEnd"/>
      <w:r w:rsidR="00C5090D" w:rsidRPr="00546466">
        <w:rPr>
          <w:i/>
        </w:rPr>
        <w:t xml:space="preserve"> Human </w:t>
      </w:r>
      <w:proofErr w:type="spellStart"/>
      <w:r w:rsidR="00C5090D" w:rsidRPr="00546466">
        <w:rPr>
          <w:i/>
        </w:rPr>
        <w:t>Rights</w:t>
      </w:r>
      <w:proofErr w:type="spellEnd"/>
      <w:r w:rsidR="00C5090D" w:rsidRPr="00546466">
        <w:rPr>
          <w:i/>
        </w:rPr>
        <w:t xml:space="preserve"> </w:t>
      </w:r>
      <w:proofErr w:type="spellStart"/>
      <w:r w:rsidR="00C5090D" w:rsidRPr="00546466">
        <w:rPr>
          <w:i/>
        </w:rPr>
        <w:t>Working</w:t>
      </w:r>
      <w:proofErr w:type="spellEnd"/>
      <w:r w:rsidR="00C5090D" w:rsidRPr="00546466">
        <w:rPr>
          <w:i/>
        </w:rPr>
        <w:t xml:space="preserve"> Group </w:t>
      </w:r>
      <w:r w:rsidR="00C5090D">
        <w:t>opgericht die men inzet op het gebied van gezondheid en mensenrechten voor vrouwen, kinderen en adolescenten.</w:t>
      </w:r>
    </w:p>
    <w:p w14:paraId="1AF33EFA" w14:textId="55C0C4E5" w:rsidR="0051048D" w:rsidRDefault="00322704" w:rsidP="00946EF9">
      <w:r w:rsidRPr="00EE7A49">
        <w:br/>
      </w:r>
      <w:r w:rsidRPr="00784329">
        <w:rPr>
          <w:u w:val="single"/>
        </w:rPr>
        <w:t>Humanitaire hulp</w:t>
      </w:r>
      <w:r w:rsidRPr="00784329">
        <w:rPr>
          <w:u w:val="single"/>
        </w:rPr>
        <w:br/>
      </w:r>
      <w:r w:rsidR="00572556" w:rsidRPr="00784329">
        <w:rPr>
          <w:i/>
        </w:rPr>
        <w:t>Relevant</w:t>
      </w:r>
      <w:r w:rsidR="00A33725">
        <w:t>.</w:t>
      </w:r>
      <w:r>
        <w:t xml:space="preserve"> </w:t>
      </w:r>
      <w:r w:rsidR="00572556">
        <w:t>D</w:t>
      </w:r>
      <w:r>
        <w:t>e Ebola uitbraak in West</w:t>
      </w:r>
      <w:r w:rsidR="00F678F7">
        <w:t>-</w:t>
      </w:r>
      <w:r>
        <w:t xml:space="preserve">Afrika </w:t>
      </w:r>
      <w:r w:rsidR="00572556">
        <w:t xml:space="preserve">heeft </w:t>
      </w:r>
      <w:r w:rsidR="00B77B6C">
        <w:t xml:space="preserve">duidelijk gemaakt dat </w:t>
      </w:r>
      <w:r>
        <w:t>de rol van de WHO in gezondheidscrise</w:t>
      </w:r>
      <w:r w:rsidR="00D3465B">
        <w:t>s</w:t>
      </w:r>
      <w:r>
        <w:t xml:space="preserve"> relevant </w:t>
      </w:r>
      <w:r w:rsidR="00D3465B">
        <w:t>is.</w:t>
      </w:r>
      <w:r>
        <w:t xml:space="preserve"> Op basis </w:t>
      </w:r>
      <w:r w:rsidR="0051048D">
        <w:t xml:space="preserve">van verschillende onafhankelijke evaluaties en </w:t>
      </w:r>
      <w:r>
        <w:t xml:space="preserve">de Ebola Resolutie van januari 2015 </w:t>
      </w:r>
      <w:r w:rsidR="00B77B6C">
        <w:t xml:space="preserve">heeft de organisatie grote hervormingen </w:t>
      </w:r>
      <w:r w:rsidR="0051048D">
        <w:t>doorgevoerd.</w:t>
      </w:r>
      <w:r w:rsidR="00B77B6C">
        <w:t xml:space="preserve"> </w:t>
      </w:r>
      <w:r w:rsidR="0051048D">
        <w:t xml:space="preserve">De WHO is binnen de </w:t>
      </w:r>
      <w:r w:rsidR="00A60E92">
        <w:t>VN-noodhulp</w:t>
      </w:r>
      <w:r w:rsidR="0051048D">
        <w:t xml:space="preserve"> response de </w:t>
      </w:r>
      <w:r w:rsidR="0051048D" w:rsidRPr="005C1A98">
        <w:rPr>
          <w:i/>
        </w:rPr>
        <w:t xml:space="preserve">Global Health </w:t>
      </w:r>
      <w:r w:rsidR="00AC276A">
        <w:rPr>
          <w:i/>
        </w:rPr>
        <w:t>C</w:t>
      </w:r>
      <w:r w:rsidR="0051048D" w:rsidRPr="005C1A98">
        <w:rPr>
          <w:i/>
        </w:rPr>
        <w:t>luster</w:t>
      </w:r>
      <w:r w:rsidR="0051048D">
        <w:t xml:space="preserve"> </w:t>
      </w:r>
      <w:r w:rsidR="00AC276A">
        <w:t>L</w:t>
      </w:r>
      <w:r w:rsidR="0051048D">
        <w:t xml:space="preserve">ead en speelt een </w:t>
      </w:r>
      <w:r w:rsidR="00D3465B">
        <w:t>essentiële</w:t>
      </w:r>
      <w:r w:rsidR="0051048D">
        <w:t xml:space="preserve"> rol bij het </w:t>
      </w:r>
      <w:r w:rsidR="00D3465B">
        <w:t>coördineren</w:t>
      </w:r>
      <w:r w:rsidR="0051048D">
        <w:t xml:space="preserve"> van humanitaire hulp.</w:t>
      </w:r>
      <w:r w:rsidR="00AE6CA2">
        <w:t xml:space="preserve"> </w:t>
      </w:r>
      <w:r w:rsidR="00920A27">
        <w:t xml:space="preserve">Momenteel heeft de WHO zeer relevante taken bij </w:t>
      </w:r>
      <w:r w:rsidR="00A60E92">
        <w:t>voortdurende humanitaire</w:t>
      </w:r>
      <w:r w:rsidR="00920A27">
        <w:t xml:space="preserve"> crises (Syri</w:t>
      </w:r>
      <w:r w:rsidR="00CE3354">
        <w:t>ë</w:t>
      </w:r>
      <w:r w:rsidR="00920A27">
        <w:t>, Irak, Nigeria, Jemen, Zuid Soedan)</w:t>
      </w:r>
      <w:r w:rsidR="00B87AA5">
        <w:rPr>
          <w:rStyle w:val="FootnoteReference"/>
        </w:rPr>
        <w:footnoteReference w:id="8"/>
      </w:r>
      <w:r w:rsidR="00920A27">
        <w:t xml:space="preserve">. Met het nieuwe </w:t>
      </w:r>
      <w:r w:rsidR="00CE3354">
        <w:t>noodhulp</w:t>
      </w:r>
      <w:r w:rsidR="00920A27">
        <w:t xml:space="preserve">programma is de WHO meer ingebed in de humanitaire infrastructuur. </w:t>
      </w:r>
    </w:p>
    <w:p w14:paraId="00C3BB3D" w14:textId="1245394C" w:rsidR="00322704" w:rsidRDefault="0051048D" w:rsidP="00946EF9">
      <w:r>
        <w:t>Gezien alle recente ontwikkelingen is het</w:t>
      </w:r>
      <w:r w:rsidR="00B91362">
        <w:t xml:space="preserve"> </w:t>
      </w:r>
      <w:r w:rsidR="001351AB">
        <w:t xml:space="preserve">op dit moment nog </w:t>
      </w:r>
      <w:r>
        <w:t>te vroeg om te bepalen hoe succesvol het</w:t>
      </w:r>
      <w:r w:rsidR="00A91357">
        <w:t xml:space="preserve"> nieuwe </w:t>
      </w:r>
      <w:r w:rsidR="00CE3354">
        <w:t>noodhulp</w:t>
      </w:r>
      <w:r w:rsidR="00A91357">
        <w:t xml:space="preserve">programma is. Een complicerende factor is dat </w:t>
      </w:r>
      <w:r>
        <w:t xml:space="preserve">het programma nog lang niet </w:t>
      </w:r>
      <w:r w:rsidR="00CE3354">
        <w:t xml:space="preserve">volledig </w:t>
      </w:r>
      <w:r>
        <w:t xml:space="preserve">gefinancierd </w:t>
      </w:r>
      <w:r w:rsidR="00B91362">
        <w:t xml:space="preserve">is </w:t>
      </w:r>
      <w:r>
        <w:t>wat het voor de WHO lastig maakt om aan de hoge verwachtingen te voldoen.</w:t>
      </w:r>
      <w:r w:rsidR="00AE6CA2">
        <w:t xml:space="preserve"> </w:t>
      </w:r>
    </w:p>
    <w:p w14:paraId="6FF2D266" w14:textId="77777777" w:rsidR="00322704" w:rsidRDefault="00322704" w:rsidP="00730D14"/>
    <w:p w14:paraId="0B79F803" w14:textId="77777777" w:rsidR="00784329" w:rsidRPr="00784329" w:rsidRDefault="00784329" w:rsidP="00784329">
      <w:pPr>
        <w:rPr>
          <w:u w:val="single"/>
        </w:rPr>
      </w:pPr>
      <w:r w:rsidRPr="00784329">
        <w:rPr>
          <w:u w:val="single"/>
        </w:rPr>
        <w:t>Klimaat</w:t>
      </w:r>
    </w:p>
    <w:p w14:paraId="349F52E4" w14:textId="0E33B073" w:rsidR="00C661FC" w:rsidRDefault="00784329" w:rsidP="00784329">
      <w:r w:rsidRPr="00784329">
        <w:rPr>
          <w:i/>
        </w:rPr>
        <w:t>Beperkt relevant</w:t>
      </w:r>
      <w:r w:rsidR="00A33725">
        <w:t>.</w:t>
      </w:r>
      <w:r>
        <w:t xml:space="preserve"> De invloed van milieuproblemen op de menselijke gezondheid is een thema waarmee de WHO zich al jaren </w:t>
      </w:r>
      <w:r w:rsidR="00A33725">
        <w:t>bezighoudt</w:t>
      </w:r>
      <w:r>
        <w:t>. De afgelopen jaren komt het thema klimaatverandering/milieuproblemen in relatie tot de humane gezondheid alleen maar prominenter op de agenda van de WHO (denk bijvoorbeeld aan ziektevectoren als muggen die zich als gevolg van klimaatverandering naar steeds meer delen van de aarde verspreiden). Door aandacht te vragen voor de impact op de menselijke gezondheid en deze verder in kaart te brengen draagt de WHO bij aan het verbreden van draagvlak voor milieumaatregelen. De WHO was onder andere actief betrokken bij de klimaatconferentie in Parijs in december 2015.</w:t>
      </w:r>
    </w:p>
    <w:p w14:paraId="14FE3093" w14:textId="1B01BFE5" w:rsidR="00EA615D" w:rsidRDefault="00EA615D" w:rsidP="002C45B0"/>
    <w:p w14:paraId="2D2B815E" w14:textId="751FE863" w:rsidR="00A33725" w:rsidRDefault="00A33725" w:rsidP="002C45B0"/>
    <w:p w14:paraId="6423176C" w14:textId="50A5BFD4" w:rsidR="00A33725" w:rsidRDefault="00A33725" w:rsidP="002C45B0"/>
    <w:p w14:paraId="01BCFAAA" w14:textId="7E1C83F3" w:rsidR="00A33725" w:rsidRDefault="00A33725" w:rsidP="002C45B0"/>
    <w:p w14:paraId="26FF0CB9" w14:textId="4B3D915A" w:rsidR="00A33725" w:rsidRDefault="00A33725" w:rsidP="002C45B0"/>
    <w:p w14:paraId="13FE11D9" w14:textId="31D1CDAD" w:rsidR="00A33725" w:rsidRDefault="00A33725" w:rsidP="002C45B0"/>
    <w:p w14:paraId="58CC2DB4" w14:textId="2484B566" w:rsidR="00A33725" w:rsidRDefault="00A33725" w:rsidP="002C45B0"/>
    <w:p w14:paraId="122FC22E" w14:textId="77777777" w:rsidR="00A33725" w:rsidRDefault="00A33725" w:rsidP="002C45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1904"/>
        <w:gridCol w:w="1929"/>
        <w:gridCol w:w="1895"/>
      </w:tblGrid>
      <w:tr w:rsidR="00784329" w14:paraId="71B81CC1" w14:textId="77777777" w:rsidTr="002A5AD6">
        <w:tc>
          <w:tcPr>
            <w:tcW w:w="7697"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16B325A6" w14:textId="57395798" w:rsidR="00784329" w:rsidRPr="00792AB2" w:rsidRDefault="00784329" w:rsidP="00784329">
            <w:pPr>
              <w:rPr>
                <w:b/>
              </w:rPr>
            </w:pPr>
            <w:r>
              <w:rPr>
                <w:b/>
              </w:rPr>
              <w:lastRenderedPageBreak/>
              <w:t>Relevantie voor Nederlandse BHOS-prioriteiten</w:t>
            </w:r>
          </w:p>
        </w:tc>
      </w:tr>
      <w:tr w:rsidR="008B720C" w14:paraId="569784A0" w14:textId="77777777" w:rsidTr="002A5AD6">
        <w:tc>
          <w:tcPr>
            <w:tcW w:w="1969" w:type="dxa"/>
            <w:tcBorders>
              <w:top w:val="single" w:sz="12" w:space="0" w:color="auto"/>
              <w:left w:val="single" w:sz="12" w:space="0" w:color="auto"/>
              <w:bottom w:val="single" w:sz="12" w:space="0" w:color="auto"/>
            </w:tcBorders>
            <w:shd w:val="clear" w:color="auto" w:fill="BFBFBF" w:themeFill="background1" w:themeFillShade="BF"/>
          </w:tcPr>
          <w:p w14:paraId="3F3414F2" w14:textId="77777777" w:rsidR="008B720C" w:rsidRPr="00792AB2" w:rsidRDefault="008B720C" w:rsidP="002C45B0">
            <w:pPr>
              <w:rPr>
                <w:b/>
                <w:i/>
              </w:rPr>
            </w:pPr>
          </w:p>
        </w:tc>
        <w:tc>
          <w:tcPr>
            <w:tcW w:w="1904" w:type="dxa"/>
            <w:tcBorders>
              <w:top w:val="single" w:sz="12" w:space="0" w:color="auto"/>
              <w:bottom w:val="single" w:sz="12" w:space="0" w:color="auto"/>
            </w:tcBorders>
            <w:shd w:val="clear" w:color="auto" w:fill="BFBFBF" w:themeFill="background1" w:themeFillShade="BF"/>
          </w:tcPr>
          <w:p w14:paraId="4C145311" w14:textId="77777777" w:rsidR="00674C14" w:rsidRPr="00792AB2" w:rsidRDefault="008B720C" w:rsidP="002C45B0">
            <w:pPr>
              <w:rPr>
                <w:b/>
              </w:rPr>
            </w:pPr>
            <w:r w:rsidRPr="00792AB2">
              <w:rPr>
                <w:b/>
              </w:rPr>
              <w:t>Uitvoerend</w:t>
            </w:r>
          </w:p>
        </w:tc>
        <w:tc>
          <w:tcPr>
            <w:tcW w:w="1929" w:type="dxa"/>
            <w:tcBorders>
              <w:top w:val="single" w:sz="12" w:space="0" w:color="auto"/>
              <w:bottom w:val="single" w:sz="12" w:space="0" w:color="auto"/>
            </w:tcBorders>
            <w:shd w:val="clear" w:color="auto" w:fill="BFBFBF" w:themeFill="background1" w:themeFillShade="BF"/>
          </w:tcPr>
          <w:p w14:paraId="42C39422" w14:textId="77777777" w:rsidR="008B720C" w:rsidRPr="00792AB2" w:rsidRDefault="008B720C" w:rsidP="002C45B0">
            <w:pPr>
              <w:rPr>
                <w:b/>
              </w:rPr>
            </w:pPr>
            <w:r w:rsidRPr="00792AB2">
              <w:rPr>
                <w:b/>
              </w:rPr>
              <w:t>Coördinerend</w:t>
            </w:r>
          </w:p>
        </w:tc>
        <w:tc>
          <w:tcPr>
            <w:tcW w:w="1895" w:type="dxa"/>
            <w:tcBorders>
              <w:top w:val="single" w:sz="12" w:space="0" w:color="auto"/>
              <w:bottom w:val="single" w:sz="12" w:space="0" w:color="auto"/>
              <w:right w:val="single" w:sz="12" w:space="0" w:color="auto"/>
            </w:tcBorders>
            <w:shd w:val="clear" w:color="auto" w:fill="BFBFBF" w:themeFill="background1" w:themeFillShade="BF"/>
          </w:tcPr>
          <w:p w14:paraId="6416B7D6" w14:textId="77777777" w:rsidR="008B720C" w:rsidRPr="00792AB2" w:rsidRDefault="008B720C" w:rsidP="002C45B0">
            <w:pPr>
              <w:rPr>
                <w:b/>
              </w:rPr>
            </w:pPr>
            <w:r w:rsidRPr="00792AB2">
              <w:rPr>
                <w:b/>
              </w:rPr>
              <w:t>Normatief</w:t>
            </w:r>
          </w:p>
        </w:tc>
      </w:tr>
      <w:tr w:rsidR="008B720C" w14:paraId="2D50266F" w14:textId="77777777" w:rsidTr="002A5AD6">
        <w:tc>
          <w:tcPr>
            <w:tcW w:w="1969" w:type="dxa"/>
            <w:tcBorders>
              <w:top w:val="single" w:sz="12" w:space="0" w:color="auto"/>
              <w:left w:val="single" w:sz="12" w:space="0" w:color="auto"/>
            </w:tcBorders>
            <w:shd w:val="clear" w:color="auto" w:fill="auto"/>
          </w:tcPr>
          <w:p w14:paraId="0DC7DFF2" w14:textId="087967E9" w:rsidR="00454097" w:rsidRDefault="008B720C" w:rsidP="002C45B0">
            <w:r>
              <w:t>Voedselzekerheid</w:t>
            </w:r>
          </w:p>
        </w:tc>
        <w:tc>
          <w:tcPr>
            <w:tcW w:w="1904" w:type="dxa"/>
            <w:tcBorders>
              <w:top w:val="single" w:sz="12" w:space="0" w:color="auto"/>
            </w:tcBorders>
            <w:shd w:val="clear" w:color="auto" w:fill="auto"/>
          </w:tcPr>
          <w:p w14:paraId="47E6F705" w14:textId="77777777" w:rsidR="008B720C" w:rsidRPr="00454097" w:rsidRDefault="008B720C" w:rsidP="007F4649">
            <w:pPr>
              <w:jc w:val="center"/>
            </w:pPr>
          </w:p>
        </w:tc>
        <w:tc>
          <w:tcPr>
            <w:tcW w:w="1929" w:type="dxa"/>
            <w:tcBorders>
              <w:top w:val="single" w:sz="12" w:space="0" w:color="auto"/>
            </w:tcBorders>
            <w:shd w:val="clear" w:color="auto" w:fill="auto"/>
          </w:tcPr>
          <w:p w14:paraId="029F45D3" w14:textId="77777777" w:rsidR="008B720C" w:rsidRPr="00454097" w:rsidRDefault="008B720C" w:rsidP="007F4649">
            <w:pPr>
              <w:jc w:val="center"/>
            </w:pPr>
          </w:p>
        </w:tc>
        <w:tc>
          <w:tcPr>
            <w:tcW w:w="1895" w:type="dxa"/>
            <w:tcBorders>
              <w:top w:val="single" w:sz="12" w:space="0" w:color="auto"/>
              <w:right w:val="single" w:sz="12" w:space="0" w:color="auto"/>
            </w:tcBorders>
            <w:shd w:val="clear" w:color="auto" w:fill="auto"/>
          </w:tcPr>
          <w:p w14:paraId="33465C50" w14:textId="77777777" w:rsidR="008B720C" w:rsidRPr="00454097" w:rsidRDefault="00477D8F" w:rsidP="007F4649">
            <w:pPr>
              <w:jc w:val="center"/>
            </w:pPr>
            <w:r w:rsidRPr="00454097">
              <w:t>4</w:t>
            </w:r>
          </w:p>
        </w:tc>
      </w:tr>
      <w:tr w:rsidR="008B720C" w14:paraId="5CE75E90" w14:textId="77777777" w:rsidTr="002A5AD6">
        <w:tc>
          <w:tcPr>
            <w:tcW w:w="1969" w:type="dxa"/>
            <w:tcBorders>
              <w:left w:val="single" w:sz="12" w:space="0" w:color="auto"/>
            </w:tcBorders>
            <w:shd w:val="clear" w:color="auto" w:fill="auto"/>
          </w:tcPr>
          <w:p w14:paraId="76DF31BC" w14:textId="485A63AF" w:rsidR="00454097" w:rsidRDefault="008B720C" w:rsidP="002C45B0">
            <w:r>
              <w:t>Water</w:t>
            </w:r>
          </w:p>
        </w:tc>
        <w:tc>
          <w:tcPr>
            <w:tcW w:w="1904" w:type="dxa"/>
            <w:shd w:val="clear" w:color="auto" w:fill="auto"/>
          </w:tcPr>
          <w:p w14:paraId="6B83E916" w14:textId="77777777" w:rsidR="008B720C" w:rsidRPr="00454097" w:rsidRDefault="008B720C" w:rsidP="007F4649">
            <w:pPr>
              <w:jc w:val="center"/>
            </w:pPr>
          </w:p>
        </w:tc>
        <w:tc>
          <w:tcPr>
            <w:tcW w:w="1929" w:type="dxa"/>
            <w:shd w:val="clear" w:color="auto" w:fill="auto"/>
          </w:tcPr>
          <w:p w14:paraId="3E91F17F" w14:textId="77777777" w:rsidR="008B720C" w:rsidRPr="00454097" w:rsidRDefault="008B720C" w:rsidP="007F4649">
            <w:pPr>
              <w:jc w:val="center"/>
            </w:pPr>
          </w:p>
        </w:tc>
        <w:tc>
          <w:tcPr>
            <w:tcW w:w="1895" w:type="dxa"/>
            <w:tcBorders>
              <w:right w:val="single" w:sz="12" w:space="0" w:color="auto"/>
            </w:tcBorders>
            <w:shd w:val="clear" w:color="auto" w:fill="auto"/>
          </w:tcPr>
          <w:p w14:paraId="7FEA5C64" w14:textId="77777777" w:rsidR="008B720C" w:rsidRPr="00454097" w:rsidRDefault="00477D8F" w:rsidP="007F4649">
            <w:pPr>
              <w:jc w:val="center"/>
            </w:pPr>
            <w:r w:rsidRPr="00454097">
              <w:t>4</w:t>
            </w:r>
          </w:p>
        </w:tc>
      </w:tr>
      <w:tr w:rsidR="008B720C" w14:paraId="2A3231B0" w14:textId="77777777" w:rsidTr="002A5AD6">
        <w:tc>
          <w:tcPr>
            <w:tcW w:w="1969" w:type="dxa"/>
            <w:tcBorders>
              <w:left w:val="single" w:sz="12" w:space="0" w:color="auto"/>
            </w:tcBorders>
            <w:shd w:val="clear" w:color="auto" w:fill="auto"/>
          </w:tcPr>
          <w:p w14:paraId="7F4DD8AF" w14:textId="0E13887F" w:rsidR="00454097" w:rsidRDefault="008B720C" w:rsidP="002C45B0">
            <w:r>
              <w:t>SRGR</w:t>
            </w:r>
          </w:p>
        </w:tc>
        <w:tc>
          <w:tcPr>
            <w:tcW w:w="1904" w:type="dxa"/>
            <w:shd w:val="clear" w:color="auto" w:fill="auto"/>
          </w:tcPr>
          <w:p w14:paraId="687EB24D" w14:textId="77777777" w:rsidR="008B720C" w:rsidRPr="00454097" w:rsidRDefault="008B720C" w:rsidP="007F4649">
            <w:pPr>
              <w:jc w:val="center"/>
            </w:pPr>
          </w:p>
        </w:tc>
        <w:tc>
          <w:tcPr>
            <w:tcW w:w="1929" w:type="dxa"/>
            <w:shd w:val="clear" w:color="auto" w:fill="auto"/>
          </w:tcPr>
          <w:p w14:paraId="5F8B1035" w14:textId="77777777" w:rsidR="008B720C" w:rsidRPr="00454097" w:rsidRDefault="00477D8F" w:rsidP="007F4649">
            <w:pPr>
              <w:jc w:val="center"/>
            </w:pPr>
            <w:r w:rsidRPr="00454097">
              <w:t>4</w:t>
            </w:r>
          </w:p>
        </w:tc>
        <w:tc>
          <w:tcPr>
            <w:tcW w:w="1895" w:type="dxa"/>
            <w:tcBorders>
              <w:right w:val="single" w:sz="12" w:space="0" w:color="auto"/>
            </w:tcBorders>
            <w:shd w:val="clear" w:color="auto" w:fill="auto"/>
          </w:tcPr>
          <w:p w14:paraId="74F9B218" w14:textId="77777777" w:rsidR="008B720C" w:rsidRPr="00454097" w:rsidRDefault="00477D8F" w:rsidP="007F4649">
            <w:pPr>
              <w:jc w:val="center"/>
            </w:pPr>
            <w:r w:rsidRPr="00454097">
              <w:t>4</w:t>
            </w:r>
          </w:p>
        </w:tc>
      </w:tr>
      <w:tr w:rsidR="008B720C" w14:paraId="3A31F461" w14:textId="77777777" w:rsidTr="002A5AD6">
        <w:tc>
          <w:tcPr>
            <w:tcW w:w="1969" w:type="dxa"/>
            <w:tcBorders>
              <w:left w:val="single" w:sz="12" w:space="0" w:color="auto"/>
            </w:tcBorders>
            <w:shd w:val="clear" w:color="auto" w:fill="auto"/>
          </w:tcPr>
          <w:p w14:paraId="62A90739" w14:textId="203CAA7C" w:rsidR="00454097" w:rsidRDefault="008B720C" w:rsidP="008B720C">
            <w:r>
              <w:t>Gendergelijkheid</w:t>
            </w:r>
          </w:p>
        </w:tc>
        <w:tc>
          <w:tcPr>
            <w:tcW w:w="1904" w:type="dxa"/>
            <w:shd w:val="clear" w:color="auto" w:fill="auto"/>
          </w:tcPr>
          <w:p w14:paraId="09871131" w14:textId="77777777" w:rsidR="008B720C" w:rsidRPr="00454097" w:rsidRDefault="008B720C" w:rsidP="007F4649">
            <w:pPr>
              <w:jc w:val="center"/>
            </w:pPr>
          </w:p>
        </w:tc>
        <w:tc>
          <w:tcPr>
            <w:tcW w:w="1929" w:type="dxa"/>
            <w:shd w:val="clear" w:color="auto" w:fill="auto"/>
          </w:tcPr>
          <w:p w14:paraId="1DAB4577" w14:textId="77777777" w:rsidR="008B720C" w:rsidRPr="00454097" w:rsidRDefault="008B720C" w:rsidP="007F4649">
            <w:pPr>
              <w:jc w:val="center"/>
            </w:pPr>
          </w:p>
        </w:tc>
        <w:tc>
          <w:tcPr>
            <w:tcW w:w="1895" w:type="dxa"/>
            <w:tcBorders>
              <w:right w:val="single" w:sz="12" w:space="0" w:color="auto"/>
            </w:tcBorders>
            <w:shd w:val="clear" w:color="auto" w:fill="auto"/>
          </w:tcPr>
          <w:p w14:paraId="4E94B6B4" w14:textId="77777777" w:rsidR="008B720C" w:rsidRPr="00454097" w:rsidRDefault="00477D8F" w:rsidP="007F4649">
            <w:pPr>
              <w:jc w:val="center"/>
            </w:pPr>
            <w:r w:rsidRPr="00454097">
              <w:t>4</w:t>
            </w:r>
          </w:p>
        </w:tc>
      </w:tr>
      <w:tr w:rsidR="008B720C" w14:paraId="793FBC72" w14:textId="77777777" w:rsidTr="002A5AD6">
        <w:tc>
          <w:tcPr>
            <w:tcW w:w="1969" w:type="dxa"/>
            <w:tcBorders>
              <w:left w:val="single" w:sz="12" w:space="0" w:color="auto"/>
              <w:bottom w:val="single" w:sz="12" w:space="0" w:color="auto"/>
            </w:tcBorders>
            <w:shd w:val="clear" w:color="auto" w:fill="auto"/>
          </w:tcPr>
          <w:p w14:paraId="7E7ED99B" w14:textId="43812DAA" w:rsidR="00454097" w:rsidRDefault="008B720C" w:rsidP="002C45B0">
            <w:r>
              <w:t>Humanitaire hulp</w:t>
            </w:r>
          </w:p>
        </w:tc>
        <w:tc>
          <w:tcPr>
            <w:tcW w:w="1904" w:type="dxa"/>
            <w:tcBorders>
              <w:bottom w:val="single" w:sz="12" w:space="0" w:color="auto"/>
            </w:tcBorders>
            <w:shd w:val="clear" w:color="auto" w:fill="auto"/>
          </w:tcPr>
          <w:p w14:paraId="636F0A1D" w14:textId="77777777" w:rsidR="008B720C" w:rsidRPr="00454097" w:rsidRDefault="00477D8F" w:rsidP="007F4649">
            <w:pPr>
              <w:jc w:val="center"/>
            </w:pPr>
            <w:r w:rsidRPr="00454097">
              <w:t>2</w:t>
            </w:r>
          </w:p>
        </w:tc>
        <w:tc>
          <w:tcPr>
            <w:tcW w:w="1929" w:type="dxa"/>
            <w:tcBorders>
              <w:bottom w:val="single" w:sz="12" w:space="0" w:color="auto"/>
            </w:tcBorders>
            <w:shd w:val="clear" w:color="auto" w:fill="auto"/>
          </w:tcPr>
          <w:p w14:paraId="35E3EFA6" w14:textId="77777777" w:rsidR="008B720C" w:rsidRPr="00454097" w:rsidRDefault="00477D8F" w:rsidP="007F4649">
            <w:pPr>
              <w:jc w:val="center"/>
            </w:pPr>
            <w:r w:rsidRPr="00454097">
              <w:t>3</w:t>
            </w:r>
          </w:p>
        </w:tc>
        <w:tc>
          <w:tcPr>
            <w:tcW w:w="1895" w:type="dxa"/>
            <w:tcBorders>
              <w:bottom w:val="single" w:sz="12" w:space="0" w:color="auto"/>
              <w:right w:val="single" w:sz="12" w:space="0" w:color="auto"/>
            </w:tcBorders>
            <w:shd w:val="clear" w:color="auto" w:fill="auto"/>
          </w:tcPr>
          <w:p w14:paraId="046D897A" w14:textId="77777777" w:rsidR="008B720C" w:rsidRPr="00454097" w:rsidRDefault="00477D8F" w:rsidP="007F4649">
            <w:pPr>
              <w:jc w:val="center"/>
            </w:pPr>
            <w:r w:rsidRPr="00454097">
              <w:t>4</w:t>
            </w:r>
          </w:p>
        </w:tc>
      </w:tr>
    </w:tbl>
    <w:p w14:paraId="0387E6FF" w14:textId="77777777" w:rsidR="008B720C" w:rsidRDefault="008B720C" w:rsidP="002C45B0"/>
    <w:p w14:paraId="0FB56502" w14:textId="1A5A34EF" w:rsidR="008624F0" w:rsidRDefault="00206A0E" w:rsidP="008624F0">
      <w:pPr>
        <w:pStyle w:val="Heading2"/>
        <w:tabs>
          <w:tab w:val="left" w:pos="-1162"/>
          <w:tab w:val="left" w:pos="0"/>
          <w:tab w:val="num" w:pos="1160"/>
        </w:tabs>
        <w:spacing w:line="240" w:lineRule="auto"/>
        <w:ind w:hanging="1162"/>
      </w:pPr>
      <w:bookmarkStart w:id="48" w:name="_Toc410140912"/>
      <w:bookmarkStart w:id="49" w:name="_Toc491421113"/>
      <w:r>
        <w:t>5</w:t>
      </w:r>
      <w:r w:rsidR="003331DA">
        <w:t>.</w:t>
      </w:r>
      <w:r w:rsidR="00195B13">
        <w:t>2</w:t>
      </w:r>
      <w:r w:rsidR="008624F0">
        <w:tab/>
        <w:t>Overige relevantie</w:t>
      </w:r>
      <w:bookmarkEnd w:id="48"/>
      <w:bookmarkEnd w:id="49"/>
      <w:r w:rsidR="0057402A">
        <w:t xml:space="preserve"> </w:t>
      </w:r>
    </w:p>
    <w:p w14:paraId="3CF0C330" w14:textId="0ACCD9E2" w:rsidR="006325B2" w:rsidRDefault="00AB395F" w:rsidP="002B7582">
      <w:r>
        <w:rPr>
          <w:u w:val="single"/>
        </w:rPr>
        <w:t>Wereldwijde volksgezondheid</w:t>
      </w:r>
    </w:p>
    <w:p w14:paraId="7B7CCA85" w14:textId="77777777" w:rsidR="00A70E0E" w:rsidRDefault="00A70E0E" w:rsidP="00A70E0E">
      <w:r>
        <w:t>De WHO</w:t>
      </w:r>
      <w:r w:rsidR="00C5090D">
        <w:t xml:space="preserve"> is </w:t>
      </w:r>
      <w:r>
        <w:t>relevant voor het Nederlan</w:t>
      </w:r>
      <w:r w:rsidR="00C5090D">
        <w:t>dse volksgezondheidsbeleid. D</w:t>
      </w:r>
      <w:r>
        <w:t>irecte impact op de Nederlandse wet- en regelgeving is beperkt omdat</w:t>
      </w:r>
      <w:r w:rsidR="00C5090D">
        <w:t xml:space="preserve"> de WHO beperkt van de</w:t>
      </w:r>
      <w:r>
        <w:t xml:space="preserve"> bevoegdheid gebruik maakt om juridisch bindende instrumenten tot stand te brengen. De </w:t>
      </w:r>
      <w:r w:rsidRPr="00F32F5B">
        <w:rPr>
          <w:i/>
        </w:rPr>
        <w:t xml:space="preserve">International Health </w:t>
      </w:r>
      <w:proofErr w:type="spellStart"/>
      <w:r w:rsidRPr="00F32F5B">
        <w:rPr>
          <w:i/>
        </w:rPr>
        <w:t>Regulations</w:t>
      </w:r>
      <w:proofErr w:type="spellEnd"/>
      <w:r>
        <w:t xml:space="preserve"> zijn geïmplementeer</w:t>
      </w:r>
      <w:r w:rsidR="00795099">
        <w:t>d in de Wet publieke gezondheid;</w:t>
      </w:r>
      <w:r>
        <w:t xml:space="preserve"> de </w:t>
      </w:r>
      <w:r w:rsidRPr="00F32F5B">
        <w:rPr>
          <w:i/>
        </w:rPr>
        <w:t xml:space="preserve">Framework </w:t>
      </w:r>
      <w:proofErr w:type="spellStart"/>
      <w:r w:rsidRPr="00F32F5B">
        <w:rPr>
          <w:i/>
        </w:rPr>
        <w:t>Con</w:t>
      </w:r>
      <w:r w:rsidR="00795099" w:rsidRPr="00F32F5B">
        <w:rPr>
          <w:i/>
        </w:rPr>
        <w:t>vention</w:t>
      </w:r>
      <w:proofErr w:type="spellEnd"/>
      <w:r w:rsidR="00795099" w:rsidRPr="00F32F5B">
        <w:rPr>
          <w:i/>
        </w:rPr>
        <w:t xml:space="preserve"> on Tobacco Control</w:t>
      </w:r>
      <w:r w:rsidR="00795099">
        <w:t xml:space="preserve"> in de</w:t>
      </w:r>
      <w:r>
        <w:t xml:space="preserve"> Tabaks- en rookwarenwet.</w:t>
      </w:r>
    </w:p>
    <w:p w14:paraId="26B8825B" w14:textId="027D8117" w:rsidR="00A70E0E" w:rsidRDefault="00A70E0E" w:rsidP="00A70E0E"/>
    <w:p w14:paraId="0F6DAEA9" w14:textId="77777777" w:rsidR="00A70E0E" w:rsidRDefault="00A70E0E" w:rsidP="00A70E0E">
      <w:r>
        <w:t xml:space="preserve">De activiteiten van het WHO Secretariaat leiden vooral tot allerhande niet-bindende documenten die ook, zij het minder direct, doorwerken in de Nederlandse beleidsvorming. Het betreft hier zowel allerlei technische standaarden, als ook beleidsdocumenten die niet juridisch bindend zijn, maar waaraan landen zich wel, door er tijdens de </w:t>
      </w:r>
      <w:r w:rsidRPr="00F32F5B">
        <w:rPr>
          <w:i/>
        </w:rPr>
        <w:t>World Health Assembly</w:t>
      </w:r>
      <w:r>
        <w:t xml:space="preserve"> mee in te stemmen, in politiek opzicht committeren. Een voorbeeld is het </w:t>
      </w:r>
      <w:r w:rsidRPr="00F32F5B">
        <w:rPr>
          <w:i/>
        </w:rPr>
        <w:t xml:space="preserve">Global action plan on </w:t>
      </w:r>
      <w:proofErr w:type="spellStart"/>
      <w:r w:rsidRPr="00F32F5B">
        <w:rPr>
          <w:i/>
        </w:rPr>
        <w:t>antimicrobial</w:t>
      </w:r>
      <w:proofErr w:type="spellEnd"/>
      <w:r w:rsidRPr="00F32F5B">
        <w:rPr>
          <w:i/>
        </w:rPr>
        <w:t xml:space="preserve"> </w:t>
      </w:r>
      <w:proofErr w:type="spellStart"/>
      <w:r w:rsidRPr="00F32F5B">
        <w:rPr>
          <w:i/>
        </w:rPr>
        <w:t>resistance</w:t>
      </w:r>
      <w:proofErr w:type="spellEnd"/>
      <w:r>
        <w:t xml:space="preserve"> dat de WHA in mei 2015 vaststelde.</w:t>
      </w:r>
    </w:p>
    <w:p w14:paraId="7DD23573" w14:textId="77777777" w:rsidR="00A70E0E" w:rsidRDefault="00A70E0E" w:rsidP="00A70E0E"/>
    <w:p w14:paraId="76FD07DC" w14:textId="77777777" w:rsidR="00A70E0E" w:rsidRDefault="00A70E0E" w:rsidP="00A70E0E">
      <w:r>
        <w:t xml:space="preserve">Het bestrijden en voorkomen van Antimicrobiële Resistentie (AMR) is een prioriteit van het Nederlandse volksgezondheidsbeleid, zowel nationaal als internationaal. Hetzelfde geldt voor onderwerpen als dementie en toegang tot (betaalbare) geneesmiddelen. Hier geldt dat nationale en internationale beleidsvorming in elkaar grijpen en elkaar versterken. Vanwege haar </w:t>
      </w:r>
      <w:proofErr w:type="spellStart"/>
      <w:r w:rsidRPr="00E61E16">
        <w:rPr>
          <w:i/>
        </w:rPr>
        <w:t>convening</w:t>
      </w:r>
      <w:proofErr w:type="spellEnd"/>
      <w:r w:rsidRPr="00E61E16">
        <w:rPr>
          <w:i/>
        </w:rPr>
        <w:t xml:space="preserve"> power</w:t>
      </w:r>
      <w:r>
        <w:t xml:space="preserve"> en vermogen om inhoudelijke deskundigheid wereldwijd te mobiliseren</w:t>
      </w:r>
      <w:r w:rsidR="00442074">
        <w:t xml:space="preserve"> functioneert de WHO </w:t>
      </w:r>
      <w:r>
        <w:t>als dé mondiale autoriteit op het terrein van gezondheid en gezondheidsbeleid.</w:t>
      </w:r>
    </w:p>
    <w:p w14:paraId="7F2C240A" w14:textId="2F300260" w:rsidR="008A6169" w:rsidRDefault="00A70E0E" w:rsidP="00A33725">
      <w:r>
        <w:t xml:space="preserve">Het is hierbij </w:t>
      </w:r>
      <w:r w:rsidR="00AC276A">
        <w:t xml:space="preserve">nog wel </w:t>
      </w:r>
      <w:r>
        <w:t xml:space="preserve">mogelijk </w:t>
      </w:r>
      <w:r w:rsidR="00AC276A">
        <w:t xml:space="preserve">om </w:t>
      </w:r>
      <w:r>
        <w:t>onderscheid te maken tussen gezondheidsproblemen die wereldwijd voorkomen, zoals dementie, en volksgezondheidsproblemen die waarlijk grensoverschrijdend zijn</w:t>
      </w:r>
      <w:r w:rsidR="00011F53">
        <w:t>, zoals infectieziekten, AMR en roken</w:t>
      </w:r>
      <w:r>
        <w:t xml:space="preserve">. In het eerste geval is het denkbaar dat individuele landen een probleem </w:t>
      </w:r>
      <w:r w:rsidR="00011F53">
        <w:t>zo</w:t>
      </w:r>
      <w:r>
        <w:t xml:space="preserve">als dementie strikt nationaal aanpakken; wat de WHO hier toevoegt is het bundelen en waarderen van inhoudelijke kennis omtrent de problematiek zelf en van goede praktijkvoorbeelden. </w:t>
      </w:r>
      <w:r w:rsidR="00011F53">
        <w:t>Voor daadwerkelijk grensoverschrijdende problemen zoals</w:t>
      </w:r>
      <w:r w:rsidR="00AE6CA2">
        <w:t xml:space="preserve"> </w:t>
      </w:r>
      <w:r w:rsidR="00AC276A">
        <w:t>a</w:t>
      </w:r>
      <w:r>
        <w:t>ntimicrobiële resistentie</w:t>
      </w:r>
      <w:r w:rsidR="00011F53">
        <w:t xml:space="preserve">, </w:t>
      </w:r>
      <w:r>
        <w:t>infectieziekten en roken (tabaksproducten)</w:t>
      </w:r>
      <w:r w:rsidR="00011F53">
        <w:t xml:space="preserve"> geldt daarenboven dat landen deze niet effectief kunnen aanpakken zonder een internationaal gecoördineerde strategie</w:t>
      </w:r>
      <w:r>
        <w:t>.</w:t>
      </w:r>
      <w:r w:rsidR="00AE6CA2">
        <w:t xml:space="preserve"> </w:t>
      </w:r>
    </w:p>
    <w:p w14:paraId="18C63B95" w14:textId="77777777" w:rsidR="008A6169" w:rsidRDefault="008A6169">
      <w:pPr>
        <w:spacing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5"/>
        <w:gridCol w:w="1768"/>
        <w:gridCol w:w="1847"/>
        <w:gridCol w:w="1737"/>
      </w:tblGrid>
      <w:tr w:rsidR="00784329" w14:paraId="37AF5A6A" w14:textId="77777777" w:rsidTr="00984A34">
        <w:tc>
          <w:tcPr>
            <w:tcW w:w="7697"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18D17CD9" w14:textId="1A6743C6" w:rsidR="00784329" w:rsidRPr="00784329" w:rsidRDefault="00784329" w:rsidP="00D67F8F">
            <w:pPr>
              <w:rPr>
                <w:i/>
              </w:rPr>
            </w:pPr>
            <w:r>
              <w:rPr>
                <w:b/>
              </w:rPr>
              <w:t>Overige Relevantie</w:t>
            </w:r>
          </w:p>
        </w:tc>
      </w:tr>
      <w:tr w:rsidR="00795099" w14:paraId="2A1385C8" w14:textId="77777777" w:rsidTr="00984A34">
        <w:tc>
          <w:tcPr>
            <w:tcW w:w="2345" w:type="dxa"/>
            <w:tcBorders>
              <w:top w:val="single" w:sz="12" w:space="0" w:color="auto"/>
              <w:left w:val="single" w:sz="12" w:space="0" w:color="auto"/>
              <w:bottom w:val="single" w:sz="12" w:space="0" w:color="auto"/>
            </w:tcBorders>
            <w:shd w:val="clear" w:color="auto" w:fill="BFBFBF" w:themeFill="background1" w:themeFillShade="BF"/>
          </w:tcPr>
          <w:p w14:paraId="398FC594" w14:textId="646C68A4" w:rsidR="00587797" w:rsidRPr="00B06CE6" w:rsidRDefault="00587797" w:rsidP="00755248">
            <w:pPr>
              <w:rPr>
                <w:i/>
              </w:rPr>
            </w:pPr>
          </w:p>
        </w:tc>
        <w:tc>
          <w:tcPr>
            <w:tcW w:w="1768" w:type="dxa"/>
            <w:tcBorders>
              <w:top w:val="single" w:sz="12" w:space="0" w:color="auto"/>
              <w:bottom w:val="single" w:sz="12" w:space="0" w:color="auto"/>
            </w:tcBorders>
            <w:shd w:val="clear" w:color="auto" w:fill="BFBFBF" w:themeFill="background1" w:themeFillShade="BF"/>
          </w:tcPr>
          <w:p w14:paraId="5B9B954E" w14:textId="77777777" w:rsidR="00587797" w:rsidRPr="00B06CE6" w:rsidRDefault="00587797" w:rsidP="00D67F8F">
            <w:pPr>
              <w:rPr>
                <w:b/>
              </w:rPr>
            </w:pPr>
            <w:r w:rsidRPr="00B06CE6">
              <w:rPr>
                <w:b/>
              </w:rPr>
              <w:t>Uitvoerend</w:t>
            </w:r>
          </w:p>
        </w:tc>
        <w:tc>
          <w:tcPr>
            <w:tcW w:w="1847" w:type="dxa"/>
            <w:tcBorders>
              <w:top w:val="single" w:sz="12" w:space="0" w:color="auto"/>
              <w:bottom w:val="single" w:sz="12" w:space="0" w:color="auto"/>
            </w:tcBorders>
            <w:shd w:val="clear" w:color="auto" w:fill="BFBFBF" w:themeFill="background1" w:themeFillShade="BF"/>
          </w:tcPr>
          <w:p w14:paraId="7ABBC9AB" w14:textId="77777777" w:rsidR="00587797" w:rsidRPr="00B06CE6" w:rsidRDefault="00587797" w:rsidP="00D67F8F">
            <w:pPr>
              <w:rPr>
                <w:b/>
              </w:rPr>
            </w:pPr>
            <w:r w:rsidRPr="00B06CE6">
              <w:rPr>
                <w:b/>
              </w:rPr>
              <w:t>Coördinerend</w:t>
            </w:r>
          </w:p>
        </w:tc>
        <w:tc>
          <w:tcPr>
            <w:tcW w:w="1737" w:type="dxa"/>
            <w:tcBorders>
              <w:top w:val="single" w:sz="12" w:space="0" w:color="auto"/>
              <w:bottom w:val="single" w:sz="12" w:space="0" w:color="auto"/>
              <w:right w:val="single" w:sz="12" w:space="0" w:color="auto"/>
            </w:tcBorders>
            <w:shd w:val="clear" w:color="auto" w:fill="BFBFBF" w:themeFill="background1" w:themeFillShade="BF"/>
          </w:tcPr>
          <w:p w14:paraId="11349A63" w14:textId="77777777" w:rsidR="00587797" w:rsidRPr="00B06CE6" w:rsidRDefault="00587797" w:rsidP="00D67F8F">
            <w:pPr>
              <w:rPr>
                <w:b/>
              </w:rPr>
            </w:pPr>
            <w:r w:rsidRPr="00B06CE6">
              <w:rPr>
                <w:b/>
              </w:rPr>
              <w:t>Normatief</w:t>
            </w:r>
          </w:p>
        </w:tc>
      </w:tr>
      <w:tr w:rsidR="00795099" w14:paraId="3F3ACF6F" w14:textId="77777777" w:rsidTr="00784329">
        <w:tc>
          <w:tcPr>
            <w:tcW w:w="2345" w:type="dxa"/>
            <w:tcBorders>
              <w:left w:val="single" w:sz="12" w:space="0" w:color="auto"/>
              <w:bottom w:val="single" w:sz="12" w:space="0" w:color="auto"/>
            </w:tcBorders>
            <w:shd w:val="clear" w:color="auto" w:fill="auto"/>
          </w:tcPr>
          <w:p w14:paraId="37FE1F60" w14:textId="285DED31" w:rsidR="00587797" w:rsidRDefault="00AB395F" w:rsidP="00EB0750">
            <w:r>
              <w:t>Wereldwijde volksgezondheid (ebola/</w:t>
            </w:r>
            <w:proofErr w:type="spellStart"/>
            <w:r>
              <w:t>zikavirus</w:t>
            </w:r>
            <w:proofErr w:type="spellEnd"/>
            <w:r>
              <w:t>)</w:t>
            </w:r>
          </w:p>
        </w:tc>
        <w:tc>
          <w:tcPr>
            <w:tcW w:w="1768" w:type="dxa"/>
            <w:tcBorders>
              <w:bottom w:val="single" w:sz="12" w:space="0" w:color="auto"/>
            </w:tcBorders>
            <w:shd w:val="clear" w:color="auto" w:fill="auto"/>
          </w:tcPr>
          <w:p w14:paraId="2B0677A9" w14:textId="77777777" w:rsidR="00587797" w:rsidRDefault="00587797" w:rsidP="00D67F8F"/>
        </w:tc>
        <w:tc>
          <w:tcPr>
            <w:tcW w:w="1847" w:type="dxa"/>
            <w:tcBorders>
              <w:bottom w:val="single" w:sz="12" w:space="0" w:color="auto"/>
            </w:tcBorders>
            <w:shd w:val="clear" w:color="auto" w:fill="auto"/>
          </w:tcPr>
          <w:p w14:paraId="32295F05" w14:textId="77777777" w:rsidR="00587797" w:rsidRDefault="00587797" w:rsidP="00D67F8F"/>
        </w:tc>
        <w:tc>
          <w:tcPr>
            <w:tcW w:w="1737" w:type="dxa"/>
            <w:tcBorders>
              <w:bottom w:val="single" w:sz="12" w:space="0" w:color="auto"/>
              <w:right w:val="single" w:sz="12" w:space="0" w:color="auto"/>
            </w:tcBorders>
            <w:shd w:val="clear" w:color="auto" w:fill="auto"/>
          </w:tcPr>
          <w:p w14:paraId="782F075F" w14:textId="77777777" w:rsidR="00587797" w:rsidRPr="00454097" w:rsidRDefault="00442074" w:rsidP="00784329">
            <w:pPr>
              <w:jc w:val="center"/>
            </w:pPr>
            <w:r w:rsidRPr="00454097">
              <w:t>4</w:t>
            </w:r>
          </w:p>
        </w:tc>
      </w:tr>
    </w:tbl>
    <w:p w14:paraId="68B6FDB6" w14:textId="063772E3" w:rsidR="00D358D8" w:rsidRPr="00D745A7" w:rsidRDefault="00D358D8" w:rsidP="00EB0750"/>
    <w:sectPr w:rsidR="00D358D8" w:rsidRPr="00D745A7" w:rsidSect="00B10F21">
      <w:endnotePr>
        <w:numFmt w:val="decimal"/>
      </w:endnotePr>
      <w:type w:val="continuous"/>
      <w:pgSz w:w="11906" w:h="16838" w:code="9"/>
      <w:pgMar w:top="2518" w:right="958" w:bottom="1077" w:left="3221" w:header="199" w:footer="6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D2537C" w14:textId="77777777" w:rsidR="00546466" w:rsidRDefault="00546466">
      <w:r>
        <w:separator/>
      </w:r>
    </w:p>
    <w:p w14:paraId="0CD98C86" w14:textId="77777777" w:rsidR="00546466" w:rsidRDefault="00546466"/>
    <w:p w14:paraId="10F0A74E" w14:textId="77777777" w:rsidR="00546466" w:rsidRDefault="00546466"/>
  </w:endnote>
  <w:endnote w:type="continuationSeparator" w:id="0">
    <w:p w14:paraId="255C57B1" w14:textId="77777777" w:rsidR="00546466" w:rsidRDefault="00546466">
      <w:r>
        <w:continuationSeparator/>
      </w:r>
    </w:p>
    <w:p w14:paraId="629CD8F9" w14:textId="77777777" w:rsidR="00546466" w:rsidRDefault="00546466"/>
    <w:p w14:paraId="363CA0B9" w14:textId="77777777" w:rsidR="00546466" w:rsidRDefault="00546466"/>
  </w:endnote>
  <w:endnote w:type="continuationNotice" w:id="1">
    <w:p w14:paraId="362F66D8" w14:textId="77777777" w:rsidR="00546466" w:rsidRDefault="0054646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IX Barcode">
    <w:altName w:val="Courier New"/>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Segoe UI Emoji">
    <w:panose1 w:val="020B0502040204020203"/>
    <w:charset w:val="00"/>
    <w:family w:val="swiss"/>
    <w:pitch w:val="variable"/>
    <w:sig w:usb0="00000003" w:usb1="02000000" w:usb2="00000000" w:usb3="00000000" w:csb0="000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7652" w:type="dxa"/>
      <w:tblLayout w:type="fixed"/>
      <w:tblCellMar>
        <w:left w:w="0" w:type="dxa"/>
        <w:right w:w="0" w:type="dxa"/>
      </w:tblCellMar>
      <w:tblLook w:val="0000" w:firstRow="0" w:lastRow="0" w:firstColumn="0" w:lastColumn="0" w:noHBand="0" w:noVBand="0"/>
    </w:tblPr>
    <w:tblGrid>
      <w:gridCol w:w="6179"/>
      <w:gridCol w:w="1374"/>
      <w:gridCol w:w="99"/>
    </w:tblGrid>
    <w:tr w:rsidR="00546466" w:rsidRPr="00785F18" w14:paraId="3A0B5348" w14:textId="77777777" w:rsidTr="003B518B">
      <w:trPr>
        <w:trHeight w:hRule="exact" w:val="240"/>
      </w:trPr>
      <w:tc>
        <w:tcPr>
          <w:tcW w:w="7752" w:type="dxa"/>
          <w:gridSpan w:val="3"/>
          <w:shd w:val="clear" w:color="auto" w:fill="auto"/>
        </w:tcPr>
        <w:p w14:paraId="556FB8A4" w14:textId="77777777" w:rsidR="00546466" w:rsidRPr="00785F18" w:rsidRDefault="00546466">
          <w:pPr>
            <w:spacing w:line="240" w:lineRule="auto"/>
          </w:pPr>
        </w:p>
      </w:tc>
    </w:tr>
    <w:tr w:rsidR="00546466" w:rsidRPr="00785F18" w14:paraId="63F82433" w14:textId="77777777" w:rsidTr="003B518B">
      <w:trPr>
        <w:gridAfter w:val="1"/>
        <w:wAfter w:w="99" w:type="dxa"/>
        <w:trHeight w:hRule="exact" w:val="240"/>
      </w:trPr>
      <w:tc>
        <w:tcPr>
          <w:tcW w:w="6260" w:type="dxa"/>
          <w:shd w:val="clear" w:color="auto" w:fill="auto"/>
        </w:tcPr>
        <w:p w14:paraId="5F86B39E" w14:textId="77777777" w:rsidR="00546466" w:rsidRPr="00785F18" w:rsidRDefault="00557E8C" w:rsidP="003B518B">
          <w:pPr>
            <w:pStyle w:val="Huisstijl-Paginanummering"/>
            <w:rPr>
              <w:rStyle w:val="Huisstijl-Rubricering"/>
            </w:rPr>
          </w:pPr>
          <w:r>
            <w:fldChar w:fldCharType="begin"/>
          </w:r>
          <w:r>
            <w:instrText xml:space="preserve"> DOCPROPERTY  L_PAGE  \* MERGEFORMAT </w:instrText>
          </w:r>
          <w:r>
            <w:fldChar w:fldCharType="separate"/>
          </w:r>
          <w:r w:rsidR="00546466">
            <w:t>Pagina</w:t>
          </w:r>
          <w:r>
            <w:fldChar w:fldCharType="end"/>
          </w:r>
          <w:r w:rsidR="00546466" w:rsidRPr="00785F18">
            <w:t xml:space="preserve"> </w:t>
          </w:r>
          <w:r w:rsidR="00546466">
            <w:fldChar w:fldCharType="begin"/>
          </w:r>
          <w:r w:rsidR="00546466">
            <w:instrText xml:space="preserve"> PAGE   \* MERGEFORMAT </w:instrText>
          </w:r>
          <w:r w:rsidR="00546466">
            <w:fldChar w:fldCharType="separate"/>
          </w:r>
          <w:r w:rsidR="00546466">
            <w:t>2</w:t>
          </w:r>
          <w:r w:rsidR="00546466">
            <w:fldChar w:fldCharType="end"/>
          </w:r>
          <w:r w:rsidR="00546466" w:rsidRPr="00785F18">
            <w:t xml:space="preserve"> </w:t>
          </w:r>
          <w:r>
            <w:fldChar w:fldCharType="begin"/>
          </w:r>
          <w:r>
            <w:instrText xml:space="preserve"> DOCPROPERTY  L_PAGEOF  \* MERGEFORMAT </w:instrText>
          </w:r>
          <w:r>
            <w:fldChar w:fldCharType="separate"/>
          </w:r>
          <w:r w:rsidR="00546466">
            <w:t>van</w:t>
          </w:r>
          <w:r>
            <w:fldChar w:fldCharType="end"/>
          </w:r>
          <w:r w:rsidR="00546466" w:rsidRPr="00785F18">
            <w:t xml:space="preserve"> </w:t>
          </w:r>
          <w:r>
            <w:fldChar w:fldCharType="begin"/>
          </w:r>
          <w:r>
            <w:instrText xml:space="preserve"> NUMPAGES   \* MERGEFORMAT </w:instrText>
          </w:r>
          <w:r>
            <w:fldChar w:fldCharType="separate"/>
          </w:r>
          <w:ins w:id="4" w:author="coninckpjm" w:date="2017-05-29T19:37:00Z">
            <w:r w:rsidR="00546466">
              <w:t>4</w:t>
            </w:r>
          </w:ins>
          <w:ins w:id="5" w:author="Hobbelen, Audrey" w:date="2017-05-23T09:56:00Z">
            <w:del w:id="6" w:author="coninckpjm" w:date="2017-05-29T15:58:00Z">
              <w:r w:rsidR="00546466" w:rsidDel="000D694B">
                <w:delText>21</w:delText>
              </w:r>
            </w:del>
          </w:ins>
          <w:del w:id="7" w:author="coninckpjm" w:date="2017-05-29T15:58:00Z">
            <w:r w:rsidR="00546466" w:rsidDel="000D694B">
              <w:delText>16</w:delText>
            </w:r>
          </w:del>
          <w:r>
            <w:fldChar w:fldCharType="end"/>
          </w:r>
        </w:p>
      </w:tc>
      <w:tc>
        <w:tcPr>
          <w:tcW w:w="1392" w:type="dxa"/>
        </w:tcPr>
        <w:p w14:paraId="4DA592A8" w14:textId="77777777" w:rsidR="00546466" w:rsidRPr="00785F18" w:rsidRDefault="00546466" w:rsidP="003B518B">
          <w:pPr>
            <w:pStyle w:val="Huisstijl-Paginanummering"/>
            <w:jc w:val="right"/>
          </w:pPr>
        </w:p>
      </w:tc>
    </w:tr>
  </w:tbl>
  <w:p w14:paraId="4191AB51" w14:textId="77777777" w:rsidR="00546466" w:rsidRPr="00785F18" w:rsidRDefault="00546466" w:rsidP="003B518B">
    <w:pPr>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6561879"/>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58D27C54" w14:textId="7D5986AB" w:rsidR="00A33725" w:rsidRPr="00557E8C" w:rsidRDefault="00A33725">
            <w:pPr>
              <w:pStyle w:val="Footer"/>
              <w:jc w:val="right"/>
              <w:rPr>
                <w:sz w:val="16"/>
                <w:szCs w:val="16"/>
              </w:rPr>
            </w:pPr>
            <w:r w:rsidRPr="00557E8C">
              <w:rPr>
                <w:sz w:val="16"/>
                <w:szCs w:val="16"/>
              </w:rPr>
              <w:t xml:space="preserve">Pagina </w:t>
            </w:r>
            <w:r w:rsidRPr="00557E8C">
              <w:rPr>
                <w:bCs/>
                <w:sz w:val="16"/>
                <w:szCs w:val="16"/>
              </w:rPr>
              <w:fldChar w:fldCharType="begin"/>
            </w:r>
            <w:r w:rsidRPr="00557E8C">
              <w:rPr>
                <w:bCs/>
                <w:sz w:val="16"/>
                <w:szCs w:val="16"/>
              </w:rPr>
              <w:instrText>PAGE</w:instrText>
            </w:r>
            <w:r w:rsidRPr="00557E8C">
              <w:rPr>
                <w:bCs/>
                <w:sz w:val="16"/>
                <w:szCs w:val="16"/>
              </w:rPr>
              <w:fldChar w:fldCharType="separate"/>
            </w:r>
            <w:r w:rsidR="00557E8C">
              <w:rPr>
                <w:bCs/>
                <w:noProof/>
                <w:sz w:val="16"/>
                <w:szCs w:val="16"/>
              </w:rPr>
              <w:t>4</w:t>
            </w:r>
            <w:r w:rsidRPr="00557E8C">
              <w:rPr>
                <w:bCs/>
                <w:sz w:val="16"/>
                <w:szCs w:val="16"/>
              </w:rPr>
              <w:fldChar w:fldCharType="end"/>
            </w:r>
            <w:r w:rsidRPr="00557E8C">
              <w:rPr>
                <w:sz w:val="16"/>
                <w:szCs w:val="16"/>
              </w:rPr>
              <w:t xml:space="preserve"> van </w:t>
            </w:r>
            <w:r w:rsidRPr="00557E8C">
              <w:rPr>
                <w:bCs/>
                <w:sz w:val="16"/>
                <w:szCs w:val="16"/>
              </w:rPr>
              <w:fldChar w:fldCharType="begin"/>
            </w:r>
            <w:r w:rsidRPr="00557E8C">
              <w:rPr>
                <w:bCs/>
                <w:sz w:val="16"/>
                <w:szCs w:val="16"/>
              </w:rPr>
              <w:instrText>NUMPAGES</w:instrText>
            </w:r>
            <w:r w:rsidRPr="00557E8C">
              <w:rPr>
                <w:bCs/>
                <w:sz w:val="16"/>
                <w:szCs w:val="16"/>
              </w:rPr>
              <w:fldChar w:fldCharType="separate"/>
            </w:r>
            <w:r w:rsidR="00557E8C">
              <w:rPr>
                <w:bCs/>
                <w:noProof/>
                <w:sz w:val="16"/>
                <w:szCs w:val="16"/>
              </w:rPr>
              <w:t>19</w:t>
            </w:r>
            <w:r w:rsidRPr="00557E8C">
              <w:rPr>
                <w:bCs/>
                <w:sz w:val="16"/>
                <w:szCs w:val="16"/>
              </w:rPr>
              <w:fldChar w:fldCharType="end"/>
            </w:r>
          </w:p>
        </w:sdtContent>
      </w:sdt>
    </w:sdtContent>
  </w:sdt>
  <w:p w14:paraId="66CAA6DC" w14:textId="77777777" w:rsidR="00546466" w:rsidRPr="00785F18" w:rsidRDefault="00546466" w:rsidP="003B518B">
    <w:pPr>
      <w:spacing w:line="240" w:lineRule="auto"/>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0" w:type="dxa"/>
        <w:right w:w="0" w:type="dxa"/>
      </w:tblCellMar>
      <w:tblLook w:val="0000" w:firstRow="0" w:lastRow="0" w:firstColumn="0" w:lastColumn="0" w:noHBand="0" w:noVBand="0"/>
    </w:tblPr>
    <w:tblGrid>
      <w:gridCol w:w="6260"/>
      <w:gridCol w:w="1392"/>
    </w:tblGrid>
    <w:tr w:rsidR="00546466" w:rsidRPr="00785F18" w14:paraId="2A403B29" w14:textId="77777777" w:rsidTr="00B06D4B">
      <w:trPr>
        <w:trHeight w:hRule="exact" w:val="240"/>
      </w:trPr>
      <w:tc>
        <w:tcPr>
          <w:tcW w:w="6260" w:type="dxa"/>
          <w:shd w:val="clear" w:color="auto" w:fill="auto"/>
        </w:tcPr>
        <w:p w14:paraId="34DEC9AD" w14:textId="77777777" w:rsidR="00546466" w:rsidRPr="00785F18" w:rsidRDefault="00546466" w:rsidP="00B06D4B">
          <w:pPr>
            <w:rPr>
              <w:rStyle w:val="Huisstijl-Rubricering"/>
            </w:rPr>
          </w:pPr>
        </w:p>
      </w:tc>
      <w:tc>
        <w:tcPr>
          <w:tcW w:w="1392" w:type="dxa"/>
        </w:tcPr>
        <w:p w14:paraId="61EBB309" w14:textId="0EEDCE43" w:rsidR="00546466" w:rsidRPr="00785F18" w:rsidRDefault="00546466" w:rsidP="00B06D4B">
          <w:pPr>
            <w:pStyle w:val="Huisstijl-Paginanummering"/>
            <w:jc w:val="right"/>
          </w:pPr>
        </w:p>
      </w:tc>
    </w:tr>
  </w:tbl>
  <w:p w14:paraId="7D2A5408" w14:textId="77777777" w:rsidR="00546466" w:rsidRPr="00785F18" w:rsidRDefault="00546466" w:rsidP="00101F98">
    <w:pPr>
      <w:spacing w:line="240" w:lineRule="auto"/>
      <w:rPr>
        <w:sz w:val="2"/>
        <w:szCs w:val="2"/>
      </w:rPr>
    </w:pPr>
  </w:p>
  <w:p w14:paraId="5BE6A353" w14:textId="77777777" w:rsidR="00546466" w:rsidRPr="00785F18" w:rsidRDefault="00546466" w:rsidP="0039744C">
    <w:pPr>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253349" w14:textId="77777777" w:rsidR="00546466" w:rsidRPr="00B35331" w:rsidRDefault="00546466" w:rsidP="00B35331">
      <w:pPr>
        <w:pStyle w:val="Footer"/>
      </w:pPr>
    </w:p>
  </w:footnote>
  <w:footnote w:type="continuationSeparator" w:id="0">
    <w:p w14:paraId="714CCDFC" w14:textId="77777777" w:rsidR="00546466" w:rsidRDefault="00546466">
      <w:r>
        <w:continuationSeparator/>
      </w:r>
    </w:p>
    <w:p w14:paraId="2A872825" w14:textId="77777777" w:rsidR="00546466" w:rsidRDefault="00546466"/>
    <w:p w14:paraId="1E1BE6FD" w14:textId="77777777" w:rsidR="00546466" w:rsidRDefault="00546466"/>
  </w:footnote>
  <w:footnote w:type="continuationNotice" w:id="1">
    <w:p w14:paraId="598D4397" w14:textId="77777777" w:rsidR="00546466" w:rsidRDefault="00546466">
      <w:pPr>
        <w:spacing w:line="240" w:lineRule="auto"/>
      </w:pPr>
    </w:p>
  </w:footnote>
  <w:footnote w:id="2">
    <w:p w14:paraId="176465A4" w14:textId="65045C48" w:rsidR="00546466" w:rsidRDefault="00546466" w:rsidP="005150FC">
      <w:pPr>
        <w:pStyle w:val="FootnoteText"/>
      </w:pPr>
      <w:r>
        <w:rPr>
          <w:rStyle w:val="FootnoteReference"/>
        </w:rPr>
        <w:footnoteRef/>
      </w:r>
      <w:r>
        <w:t xml:space="preserve"> </w:t>
      </w:r>
      <w:r>
        <w:tab/>
        <w:t xml:space="preserve">Binnen MOPAN evalueert Nederland samen met 18 gelijkgezinde landen het functioneren van VN-organisaties en Internationale Financiële Instellingen. Vanaf 2015 worden, per keer, in een tweejaarlijkse cyclus, ongeveer 13 organisaties doorgelicht op organisatorisch functioneren en ontwikkelingseffectiviteit. </w:t>
      </w:r>
    </w:p>
  </w:footnote>
  <w:footnote w:id="3">
    <w:p w14:paraId="019BFC2E" w14:textId="77777777" w:rsidR="00546466" w:rsidRPr="00795F34" w:rsidRDefault="00546466">
      <w:pPr>
        <w:pStyle w:val="FootnoteText"/>
      </w:pPr>
      <w:r>
        <w:rPr>
          <w:rStyle w:val="FootnoteReference"/>
        </w:rPr>
        <w:footnoteRef/>
      </w:r>
      <w:r w:rsidRPr="00795F34">
        <w:t xml:space="preserve"> In mei 2016 nam de Health Assembly resolutie WHA69.11 aan over ‘Gezondheid in Agenda 2030 voor Duurzame Ontwikkeling’</w:t>
      </w:r>
      <w:r>
        <w:t>.</w:t>
      </w:r>
    </w:p>
  </w:footnote>
  <w:footnote w:id="4">
    <w:p w14:paraId="6D1A2B11" w14:textId="77777777" w:rsidR="00546466" w:rsidRPr="00F320F8" w:rsidRDefault="00546466" w:rsidP="002C4362">
      <w:pPr>
        <w:pStyle w:val="FootnoteText"/>
      </w:pPr>
      <w:r>
        <w:rPr>
          <w:rStyle w:val="FootnoteReference"/>
        </w:rPr>
        <w:footnoteRef/>
      </w:r>
      <w:r>
        <w:t xml:space="preserve"> </w:t>
      </w:r>
      <w:r w:rsidRPr="00F320F8">
        <w:t xml:space="preserve">Onder </w:t>
      </w:r>
      <w:proofErr w:type="spellStart"/>
      <w:r w:rsidRPr="00546466">
        <w:rPr>
          <w:i/>
        </w:rPr>
        <w:t>core</w:t>
      </w:r>
      <w:proofErr w:type="spellEnd"/>
      <w:r w:rsidRPr="00F320F8">
        <w:t xml:space="preserve"> bijdrage wordt verstaan: de verplichte en vrijwillige, </w:t>
      </w:r>
      <w:proofErr w:type="spellStart"/>
      <w:r w:rsidRPr="00F320F8">
        <w:t>ongeoormerkte</w:t>
      </w:r>
      <w:proofErr w:type="spellEnd"/>
      <w:r w:rsidRPr="00F320F8">
        <w:t xml:space="preserve"> bijdrage aan de organisatie.</w:t>
      </w:r>
    </w:p>
  </w:footnote>
  <w:footnote w:id="5">
    <w:p w14:paraId="58261BA5" w14:textId="77777777" w:rsidR="00546466" w:rsidRPr="00D520A7" w:rsidRDefault="00546466">
      <w:pPr>
        <w:pStyle w:val="FootnoteText"/>
      </w:pPr>
      <w:r>
        <w:rPr>
          <w:rStyle w:val="FootnoteReference"/>
        </w:rPr>
        <w:footnoteRef/>
      </w:r>
      <w:r w:rsidRPr="00D520A7">
        <w:t xml:space="preserve"> </w:t>
      </w:r>
      <w:proofErr w:type="gramStart"/>
      <w:r w:rsidRPr="00D520A7">
        <w:t>http://extranet.who.int/programmebudget</w:t>
      </w:r>
      <w:proofErr w:type="gramEnd"/>
    </w:p>
  </w:footnote>
  <w:footnote w:id="6">
    <w:p w14:paraId="48FF65DA" w14:textId="77777777" w:rsidR="00546466" w:rsidRPr="00B86402" w:rsidRDefault="00546466">
      <w:pPr>
        <w:pStyle w:val="FootnoteText"/>
      </w:pPr>
      <w:r>
        <w:rPr>
          <w:rStyle w:val="FootnoteReference"/>
        </w:rPr>
        <w:footnoteRef/>
      </w:r>
      <w:r w:rsidRPr="00B86402">
        <w:t xml:space="preserve"> Bijvoorbeeld het initiatief om polio op korte termijn uit te roeien.</w:t>
      </w:r>
    </w:p>
  </w:footnote>
  <w:footnote w:id="7">
    <w:p w14:paraId="08F34A7E" w14:textId="262A64C2" w:rsidR="00546466" w:rsidRPr="00B86402" w:rsidRDefault="00546466">
      <w:pPr>
        <w:pStyle w:val="FootnoteText"/>
        <w:rPr>
          <w:lang w:val="en-GB"/>
        </w:rPr>
      </w:pPr>
      <w:r>
        <w:rPr>
          <w:rStyle w:val="FootnoteReference"/>
        </w:rPr>
        <w:footnoteRef/>
      </w:r>
      <w:r>
        <w:rPr>
          <w:lang w:val="en-GB"/>
        </w:rPr>
        <w:t xml:space="preserve"> </w:t>
      </w:r>
      <w:proofErr w:type="spellStart"/>
      <w:r>
        <w:rPr>
          <w:lang w:val="en-GB"/>
        </w:rPr>
        <w:t>B</w:t>
      </w:r>
      <w:r w:rsidRPr="00B86402">
        <w:rPr>
          <w:lang w:val="en-GB"/>
        </w:rPr>
        <w:t>ijvoorbeeld</w:t>
      </w:r>
      <w:proofErr w:type="spellEnd"/>
      <w:r w:rsidRPr="00B86402">
        <w:rPr>
          <w:lang w:val="en-GB"/>
        </w:rPr>
        <w:t xml:space="preserve"> via H4+, het </w:t>
      </w:r>
      <w:r w:rsidRPr="00546466">
        <w:rPr>
          <w:i/>
          <w:lang w:val="en-GB"/>
        </w:rPr>
        <w:t>Human Reproduction Program</w:t>
      </w:r>
      <w:r w:rsidRPr="00B86402">
        <w:rPr>
          <w:lang w:val="en-GB"/>
        </w:rPr>
        <w:t xml:space="preserve"> (HRP) </w:t>
      </w:r>
      <w:proofErr w:type="spellStart"/>
      <w:r w:rsidRPr="00B86402">
        <w:rPr>
          <w:lang w:val="en-GB"/>
        </w:rPr>
        <w:t>en</w:t>
      </w:r>
      <w:proofErr w:type="spellEnd"/>
      <w:r w:rsidRPr="00B86402">
        <w:rPr>
          <w:lang w:val="en-GB"/>
        </w:rPr>
        <w:t xml:space="preserve"> </w:t>
      </w:r>
      <w:r w:rsidRPr="00546466">
        <w:rPr>
          <w:i/>
          <w:lang w:val="en-GB"/>
        </w:rPr>
        <w:t xml:space="preserve">Partnership for Maternal </w:t>
      </w:r>
      <w:proofErr w:type="spellStart"/>
      <w:r w:rsidRPr="00546466">
        <w:rPr>
          <w:i/>
          <w:lang w:val="en-GB"/>
        </w:rPr>
        <w:t>Newborn</w:t>
      </w:r>
      <w:proofErr w:type="spellEnd"/>
      <w:r w:rsidRPr="00546466">
        <w:rPr>
          <w:i/>
          <w:lang w:val="en-GB"/>
        </w:rPr>
        <w:t xml:space="preserve"> Child Health</w:t>
      </w:r>
      <w:r w:rsidRPr="00B86402">
        <w:rPr>
          <w:lang w:val="en-GB"/>
        </w:rPr>
        <w:t xml:space="preserve"> (PMNCH)</w:t>
      </w:r>
      <w:r>
        <w:rPr>
          <w:lang w:val="en-GB"/>
        </w:rPr>
        <w:t>.</w:t>
      </w:r>
    </w:p>
  </w:footnote>
  <w:footnote w:id="8">
    <w:p w14:paraId="787D85A2" w14:textId="77777777" w:rsidR="00546466" w:rsidRPr="00B87AA5" w:rsidRDefault="00546466">
      <w:pPr>
        <w:pStyle w:val="FootnoteText"/>
      </w:pPr>
      <w:r>
        <w:rPr>
          <w:rStyle w:val="FootnoteReference"/>
        </w:rPr>
        <w:footnoteRef/>
      </w:r>
      <w:r>
        <w:t xml:space="preserve"> Zie voor een overzicht: </w:t>
      </w:r>
      <w:r w:rsidRPr="00B87AA5">
        <w:t>http://www.who.int/features/qa/health-emergencies-programme/en/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FB7FF" w14:textId="77777777" w:rsidR="00546466" w:rsidRPr="00785F18" w:rsidRDefault="00546466">
    <w:pPr>
      <w:pStyle w:val="Header"/>
    </w:pPr>
  </w:p>
  <w:p w14:paraId="45F28854" w14:textId="77777777" w:rsidR="00546466" w:rsidRPr="00785F18" w:rsidRDefault="00546466"/>
  <w:p w14:paraId="0464DE6E" w14:textId="77777777" w:rsidR="00546466" w:rsidRPr="00785F18" w:rsidRDefault="0054646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A1C77" w14:textId="77777777" w:rsidR="00546466" w:rsidRPr="00785F18" w:rsidRDefault="00546466" w:rsidP="000C0FB6">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546466" w:rsidRPr="008517DE" w14:paraId="2379B2E2" w14:textId="77777777" w:rsidTr="002E14E1">
      <w:trPr>
        <w:trHeight w:val="400"/>
      </w:trPr>
      <w:tc>
        <w:tcPr>
          <w:tcW w:w="7520" w:type="dxa"/>
          <w:shd w:val="clear" w:color="auto" w:fill="auto"/>
        </w:tcPr>
        <w:p w14:paraId="315804BD" w14:textId="35FF0745" w:rsidR="00546466" w:rsidRDefault="00546466" w:rsidP="00784329">
          <w:pPr>
            <w:adjustRightInd w:val="0"/>
            <w:spacing w:line="180" w:lineRule="exact"/>
            <w:rPr>
              <w:rStyle w:val="Huisstijl-Koptekst"/>
            </w:rPr>
          </w:pPr>
          <w:r>
            <w:rPr>
              <w:rStyle w:val="Huisstijl-Koptekst"/>
            </w:rPr>
            <w:fldChar w:fldCharType="begin"/>
          </w:r>
          <w:r>
            <w:rPr>
              <w:rStyle w:val="Huisstijl-Koptekst"/>
            </w:rPr>
            <w:instrText xml:space="preserve"> Titel </w:instrText>
          </w:r>
          <w:r>
            <w:rPr>
              <w:rStyle w:val="Huisstijl-Koptekst"/>
            </w:rPr>
            <w:fldChar w:fldCharType="separate"/>
          </w:r>
          <w:r w:rsidRPr="00B36546">
            <w:t>Scorecard</w:t>
          </w:r>
          <w:r>
            <w:rPr>
              <w:rStyle w:val="Huisstijl-Koptekst"/>
            </w:rPr>
            <w:fldChar w:fldCharType="end"/>
          </w:r>
          <w:r w:rsidRPr="008517DE">
            <w:rPr>
              <w:rStyle w:val="Huisstijl-Koptekst"/>
              <w:lang w:val="en-GB"/>
            </w:rPr>
            <w:t xml:space="preserve"> | </w:t>
          </w:r>
          <w:r>
            <w:rPr>
              <w:rStyle w:val="Huisstijl-Koptekst"/>
            </w:rPr>
            <w:t xml:space="preserve">World Health </w:t>
          </w:r>
          <w:proofErr w:type="spellStart"/>
          <w:r>
            <w:rPr>
              <w:rStyle w:val="Huisstijl-Koptekst"/>
            </w:rPr>
            <w:t>Organization</w:t>
          </w:r>
          <w:proofErr w:type="spellEnd"/>
        </w:p>
        <w:p w14:paraId="5752EDCD" w14:textId="3E21CA3B" w:rsidR="00546466" w:rsidRPr="008517DE" w:rsidRDefault="00546466" w:rsidP="00784329">
          <w:pPr>
            <w:adjustRightInd w:val="0"/>
            <w:spacing w:line="180" w:lineRule="exact"/>
            <w:rPr>
              <w:sz w:val="13"/>
              <w:lang w:val="en-GB"/>
            </w:rPr>
          </w:pPr>
        </w:p>
      </w:tc>
    </w:tr>
  </w:tbl>
  <w:p w14:paraId="0ED040AD" w14:textId="77777777" w:rsidR="00546466" w:rsidRPr="008517DE" w:rsidRDefault="00546466" w:rsidP="000D7BB7">
    <w:pPr>
      <w:pStyle w:val="Heade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1CBF5" w14:textId="54BED288" w:rsidR="00546466" w:rsidRPr="00785F18" w:rsidRDefault="00546466" w:rsidP="006E263E">
    <w:r>
      <w:rPr>
        <w:noProof/>
      </w:rPr>
      <mc:AlternateContent>
        <mc:Choice Requires="wps">
          <w:drawing>
            <wp:anchor distT="0" distB="0" distL="114300" distR="114300" simplePos="0" relativeHeight="251658240" behindDoc="0" locked="0" layoutInCell="1" allowOverlap="1" wp14:anchorId="1CA23F55" wp14:editId="6379DA76">
              <wp:simplePos x="0" y="0"/>
              <wp:positionH relativeFrom="column">
                <wp:posOffset>1386840</wp:posOffset>
              </wp:positionH>
              <wp:positionV relativeFrom="page">
                <wp:posOffset>-87630</wp:posOffset>
              </wp:positionV>
              <wp:extent cx="4025900" cy="17462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0" cy="174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546466" w14:paraId="1130EA13" w14:textId="77777777">
                            <w:trPr>
                              <w:trHeight w:val="2636"/>
                            </w:trPr>
                            <w:tc>
                              <w:tcPr>
                                <w:tcW w:w="737" w:type="dxa"/>
                                <w:shd w:val="clear" w:color="auto" w:fill="auto"/>
                              </w:tcPr>
                              <w:p w14:paraId="7AA4E9D7" w14:textId="77777777" w:rsidR="00546466" w:rsidRDefault="00546466" w:rsidP="006E263E">
                                <w:pPr>
                                  <w:spacing w:line="240" w:lineRule="auto"/>
                                </w:pPr>
                                <w:bookmarkStart w:id="8" w:name="bm_BZlogo"/>
                                <w:bookmarkEnd w:id="8"/>
                                <w:r>
                                  <w:rPr>
                                    <w:noProof/>
                                  </w:rPr>
                                  <w:drawing>
                                    <wp:inline distT="0" distB="0" distL="0" distR="0" wp14:anchorId="1063F004" wp14:editId="64FB7775">
                                      <wp:extent cx="469900" cy="1587500"/>
                                      <wp:effectExtent l="0" t="0" r="0" b="0"/>
                                      <wp:docPr id="8" name="Picture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900" cy="1587500"/>
                                              </a:xfrm>
                                              <a:prstGeom prst="rect">
                                                <a:avLst/>
                                              </a:prstGeom>
                                              <a:noFill/>
                                              <a:ln>
                                                <a:noFill/>
                                              </a:ln>
                                            </pic:spPr>
                                          </pic:pic>
                                        </a:graphicData>
                                      </a:graphic>
                                    </wp:inline>
                                  </w:drawing>
                                </w:r>
                              </w:p>
                            </w:tc>
                            <w:tc>
                              <w:tcPr>
                                <w:tcW w:w="5383" w:type="dxa"/>
                                <w:shd w:val="clear" w:color="auto" w:fill="auto"/>
                              </w:tcPr>
                              <w:p w14:paraId="23ABCF00" w14:textId="77777777" w:rsidR="00546466" w:rsidRDefault="00546466" w:rsidP="006E263E">
                                <w:pPr>
                                  <w:spacing w:line="240" w:lineRule="auto"/>
                                </w:pPr>
                                <w:r>
                                  <w:rPr>
                                    <w:noProof/>
                                  </w:rPr>
                                  <w:drawing>
                                    <wp:inline distT="0" distB="0" distL="0" distR="0" wp14:anchorId="1E22B193" wp14:editId="340327B9">
                                      <wp:extent cx="2444750" cy="1651000"/>
                                      <wp:effectExtent l="0" t="0" r="0" b="0"/>
                                      <wp:docPr id="9" name="Picture 9"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4750" cy="1651000"/>
                                              </a:xfrm>
                                              <a:prstGeom prst="rect">
                                                <a:avLst/>
                                              </a:prstGeom>
                                              <a:noFill/>
                                              <a:ln>
                                                <a:noFill/>
                                              </a:ln>
                                            </pic:spPr>
                                          </pic:pic>
                                        </a:graphicData>
                                      </a:graphic>
                                    </wp:inline>
                                  </w:drawing>
                                </w:r>
                              </w:p>
                            </w:tc>
                          </w:tr>
                        </w:tbl>
                        <w:p w14:paraId="1C90A1C9" w14:textId="77777777" w:rsidR="00546466" w:rsidRDefault="00546466" w:rsidP="006E263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A23F55" id="_x0000_t202" coordsize="21600,21600" o:spt="202" path="m,l,21600r21600,l21600,xe">
              <v:stroke joinstyle="miter"/>
              <v:path gradientshapeok="t" o:connecttype="rect"/>
            </v:shapetype>
            <v:shape id="Text Box 1" o:spid="_x0000_s1026" type="#_x0000_t202" style="position:absolute;margin-left:109.2pt;margin-top:-6.9pt;width:317pt;height:1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fiJtAIAALo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" filled="f" stroked="f">
              <v:textbo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546466" w14:paraId="1130EA13" w14:textId="77777777">
                      <w:trPr>
                        <w:trHeight w:val="2636"/>
                      </w:trPr>
                      <w:tc>
                        <w:tcPr>
                          <w:tcW w:w="737" w:type="dxa"/>
                          <w:shd w:val="clear" w:color="auto" w:fill="auto"/>
                        </w:tcPr>
                        <w:p w14:paraId="7AA4E9D7" w14:textId="77777777" w:rsidR="00546466" w:rsidRDefault="00546466" w:rsidP="006E263E">
                          <w:pPr>
                            <w:spacing w:line="240" w:lineRule="auto"/>
                          </w:pPr>
                          <w:bookmarkStart w:id="9" w:name="bm_BZlogo"/>
                          <w:bookmarkEnd w:id="9"/>
                          <w:r>
                            <w:rPr>
                              <w:noProof/>
                            </w:rPr>
                            <w:drawing>
                              <wp:inline distT="0" distB="0" distL="0" distR="0" wp14:anchorId="1063F004" wp14:editId="64FB7775">
                                <wp:extent cx="469900" cy="1587500"/>
                                <wp:effectExtent l="0" t="0" r="0" b="0"/>
                                <wp:docPr id="8" name="Picture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900" cy="1587500"/>
                                        </a:xfrm>
                                        <a:prstGeom prst="rect">
                                          <a:avLst/>
                                        </a:prstGeom>
                                        <a:noFill/>
                                        <a:ln>
                                          <a:noFill/>
                                        </a:ln>
                                      </pic:spPr>
                                    </pic:pic>
                                  </a:graphicData>
                                </a:graphic>
                              </wp:inline>
                            </w:drawing>
                          </w:r>
                        </w:p>
                      </w:tc>
                      <w:tc>
                        <w:tcPr>
                          <w:tcW w:w="5383" w:type="dxa"/>
                          <w:shd w:val="clear" w:color="auto" w:fill="auto"/>
                        </w:tcPr>
                        <w:p w14:paraId="23ABCF00" w14:textId="77777777" w:rsidR="00546466" w:rsidRDefault="00546466" w:rsidP="006E263E">
                          <w:pPr>
                            <w:spacing w:line="240" w:lineRule="auto"/>
                          </w:pPr>
                          <w:r>
                            <w:rPr>
                              <w:noProof/>
                            </w:rPr>
                            <w:drawing>
                              <wp:inline distT="0" distB="0" distL="0" distR="0" wp14:anchorId="1E22B193" wp14:editId="340327B9">
                                <wp:extent cx="2444750" cy="1651000"/>
                                <wp:effectExtent l="0" t="0" r="0" b="0"/>
                                <wp:docPr id="9" name="Picture 9"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4750" cy="1651000"/>
                                        </a:xfrm>
                                        <a:prstGeom prst="rect">
                                          <a:avLst/>
                                        </a:prstGeom>
                                        <a:noFill/>
                                        <a:ln>
                                          <a:noFill/>
                                        </a:ln>
                                      </pic:spPr>
                                    </pic:pic>
                                  </a:graphicData>
                                </a:graphic>
                              </wp:inline>
                            </w:drawing>
                          </w:r>
                        </w:p>
                      </w:tc>
                    </w:tr>
                  </w:tbl>
                  <w:p w14:paraId="1C90A1C9" w14:textId="77777777" w:rsidR="00546466" w:rsidRDefault="00546466" w:rsidP="006E263E"/>
                </w:txbxContent>
              </v:textbox>
              <w10:wrap anchory="page"/>
            </v:shape>
          </w:pict>
        </mc:Fallback>
      </mc:AlternateContent>
    </w:r>
  </w:p>
  <w:tbl>
    <w:tblPr>
      <w:tblW w:w="5640" w:type="dxa"/>
      <w:tblLayout w:type="fixed"/>
      <w:tblCellMar>
        <w:left w:w="0" w:type="dxa"/>
        <w:right w:w="0" w:type="dxa"/>
      </w:tblCellMar>
      <w:tblLook w:val="0000" w:firstRow="0" w:lastRow="0" w:firstColumn="0" w:lastColumn="0" w:noHBand="0" w:noVBand="0"/>
    </w:tblPr>
    <w:tblGrid>
      <w:gridCol w:w="5640"/>
    </w:tblGrid>
    <w:tr w:rsidR="00546466" w:rsidRPr="00785F18" w14:paraId="0D7AF4EC" w14:textId="77777777" w:rsidTr="000A01F6">
      <w:trPr>
        <w:cantSplit/>
        <w:trHeight w:hRule="exact" w:val="3340"/>
      </w:trPr>
      <w:tc>
        <w:tcPr>
          <w:tcW w:w="5640" w:type="dxa"/>
          <w:shd w:val="clear" w:color="auto" w:fill="auto"/>
        </w:tcPr>
        <w:p w14:paraId="211A6AAB" w14:textId="77777777" w:rsidR="00546466" w:rsidRPr="00785F18" w:rsidRDefault="00546466" w:rsidP="00094B45">
          <w:pPr>
            <w:ind w:left="240" w:hanging="240"/>
          </w:pPr>
        </w:p>
      </w:tc>
    </w:tr>
    <w:tr w:rsidR="00546466" w:rsidRPr="00B36546" w14:paraId="26BCF4C0" w14:textId="77777777" w:rsidTr="007B0280">
      <w:trPr>
        <w:cantSplit/>
        <w:trHeight w:hRule="exact" w:val="1440"/>
      </w:trPr>
      <w:tc>
        <w:tcPr>
          <w:tcW w:w="5640" w:type="dxa"/>
          <w:shd w:val="clear" w:color="auto" w:fill="auto"/>
        </w:tcPr>
        <w:p w14:paraId="4112AA32" w14:textId="77777777" w:rsidR="00546466" w:rsidRPr="00785F18" w:rsidRDefault="00546466" w:rsidP="000C0FB6">
          <w:pPr>
            <w:rPr>
              <w:rStyle w:val="Huisstijl-Rubricering"/>
              <w:smallCaps w:val="0"/>
            </w:rPr>
          </w:pPr>
        </w:p>
        <w:p w14:paraId="04181D4E" w14:textId="77777777" w:rsidR="00546466" w:rsidRPr="00785F18" w:rsidRDefault="00546466" w:rsidP="000C0FB6">
          <w:pPr>
            <w:spacing w:line="180" w:lineRule="atLeast"/>
            <w:rPr>
              <w:rStyle w:val="Huisstijl-Rubricering"/>
              <w:smallCaps w:val="0"/>
            </w:rPr>
          </w:pPr>
        </w:p>
        <w:p w14:paraId="2C28E459" w14:textId="6FAC9AD1" w:rsidR="00546466" w:rsidRDefault="00546466" w:rsidP="00B36546">
          <w:pPr>
            <w:pStyle w:val="Title"/>
          </w:pPr>
          <w:bookmarkStart w:id="10" w:name="titel"/>
          <w:r w:rsidRPr="00B36546">
            <w:t>Scorecard</w:t>
          </w:r>
          <w:bookmarkEnd w:id="10"/>
          <w:r>
            <w:t xml:space="preserve"> </w:t>
          </w:r>
          <w:r>
            <w:rPr>
              <w:rStyle w:val="SubtitleChar"/>
            </w:rPr>
            <w:t xml:space="preserve">World Health </w:t>
          </w:r>
          <w:proofErr w:type="spellStart"/>
          <w:r>
            <w:rPr>
              <w:rStyle w:val="SubtitleChar"/>
            </w:rPr>
            <w:t>Organization</w:t>
          </w:r>
          <w:proofErr w:type="spellEnd"/>
        </w:p>
        <w:p w14:paraId="37CCE7D9" w14:textId="77777777" w:rsidR="00546466" w:rsidRPr="00B36546" w:rsidRDefault="00546466" w:rsidP="00B36546">
          <w:pPr>
            <w:rPr>
              <w:lang w:val="en-GB"/>
            </w:rPr>
          </w:pPr>
        </w:p>
        <w:p w14:paraId="4AE74E8B" w14:textId="77777777" w:rsidR="00546466" w:rsidRPr="00B36546" w:rsidRDefault="00546466" w:rsidP="00B36546">
          <w:pPr>
            <w:tabs>
              <w:tab w:val="left" w:pos="3281"/>
            </w:tabs>
            <w:rPr>
              <w:lang w:val="en-GB"/>
            </w:rPr>
          </w:pPr>
          <w:r w:rsidRPr="00B36546">
            <w:rPr>
              <w:lang w:val="en-GB"/>
            </w:rPr>
            <w:tab/>
          </w:r>
        </w:p>
      </w:tc>
    </w:tr>
    <w:tr w:rsidR="00546466" w:rsidRPr="00B36546" w14:paraId="1D646924" w14:textId="77777777" w:rsidTr="000A01F6">
      <w:trPr>
        <w:cantSplit/>
        <w:trHeight w:hRule="exact" w:val="240"/>
      </w:trPr>
      <w:tc>
        <w:tcPr>
          <w:tcW w:w="5640" w:type="dxa"/>
          <w:shd w:val="clear" w:color="auto" w:fill="auto"/>
        </w:tcPr>
        <w:p w14:paraId="3A0643D1" w14:textId="77777777" w:rsidR="00546466" w:rsidRPr="00B36546" w:rsidRDefault="00546466" w:rsidP="00B60860">
          <w:pPr>
            <w:rPr>
              <w:lang w:val="en-GB"/>
            </w:rPr>
          </w:pPr>
        </w:p>
      </w:tc>
    </w:tr>
    <w:tr w:rsidR="00546466" w:rsidRPr="00B36546" w14:paraId="30747629" w14:textId="77777777" w:rsidTr="000A01F6">
      <w:trPr>
        <w:cantSplit/>
        <w:trHeight w:hRule="exact" w:val="480"/>
      </w:trPr>
      <w:tc>
        <w:tcPr>
          <w:tcW w:w="5640" w:type="dxa"/>
          <w:shd w:val="clear" w:color="auto" w:fill="auto"/>
        </w:tcPr>
        <w:p w14:paraId="3022571B" w14:textId="77777777" w:rsidR="00546466" w:rsidRPr="00B36546" w:rsidRDefault="00546466" w:rsidP="00EF0ED5">
          <w:pPr>
            <w:rPr>
              <w:lang w:val="en-GB"/>
            </w:rPr>
          </w:pPr>
        </w:p>
      </w:tc>
    </w:tr>
  </w:tbl>
  <w:p w14:paraId="7EE5C414" w14:textId="40F347A5" w:rsidR="00546466" w:rsidRPr="00B36546" w:rsidRDefault="00546466">
    <w:pPr>
      <w:rPr>
        <w:lang w:val="en-GB"/>
      </w:rPr>
    </w:pPr>
    <w:r>
      <w:rPr>
        <w:lang w:val="en-GB"/>
      </w:rPr>
      <w:t>Datum</w:t>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t xml:space="preserve">15 </w:t>
    </w:r>
    <w:proofErr w:type="spellStart"/>
    <w:r>
      <w:rPr>
        <w:lang w:val="en-GB"/>
      </w:rPr>
      <w:t>augustus</w:t>
    </w:r>
    <w:proofErr w:type="spellEnd"/>
    <w:r>
      <w:rPr>
        <w:lang w:val="en-GB"/>
      </w:rPr>
      <w:t xml:space="preserve"> 2017</w:t>
    </w:r>
  </w:p>
  <w:p w14:paraId="4FA03484" w14:textId="77777777" w:rsidR="00546466" w:rsidRPr="00B36546" w:rsidRDefault="00546466">
    <w:pPr>
      <w:rPr>
        <w:lang w:val="en-GB"/>
      </w:rPr>
    </w:pPr>
  </w:p>
  <w:p w14:paraId="500B9288" w14:textId="77777777" w:rsidR="00546466" w:rsidRPr="00785F18" w:rsidRDefault="00546466" w:rsidP="0006027D"/>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3AA98" w14:textId="77777777" w:rsidR="00546466" w:rsidRPr="00785F18" w:rsidRDefault="00546466" w:rsidP="00E51959">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546466" w:rsidRPr="008517DE" w14:paraId="3A4A4759" w14:textId="77777777" w:rsidTr="00B06D4B">
      <w:trPr>
        <w:trHeight w:val="400"/>
      </w:trPr>
      <w:tc>
        <w:tcPr>
          <w:tcW w:w="7520" w:type="dxa"/>
          <w:shd w:val="clear" w:color="auto" w:fill="auto"/>
        </w:tcPr>
        <w:p w14:paraId="24646382" w14:textId="3C2FE92A" w:rsidR="00546466" w:rsidRPr="008517DE" w:rsidRDefault="00557E8C" w:rsidP="00B06D4B">
          <w:pPr>
            <w:adjustRightInd w:val="0"/>
            <w:spacing w:line="180" w:lineRule="exact"/>
            <w:rPr>
              <w:sz w:val="13"/>
              <w:lang w:val="en-GB"/>
            </w:rPr>
          </w:pPr>
          <w:r>
            <w:fldChar w:fldCharType="begin"/>
          </w:r>
          <w:r>
            <w:instrText xml:space="preserve"> REF  titel  \* MERGEFORMAT </w:instrText>
          </w:r>
          <w:r>
            <w:fldChar w:fldCharType="separate"/>
          </w:r>
          <w:r w:rsidR="00546466" w:rsidRPr="0054360E">
            <w:rPr>
              <w:rStyle w:val="Huisstijl-Koptekst"/>
              <w:sz w:val="18"/>
              <w:szCs w:val="18"/>
              <w:lang w:val="en-GB"/>
              <w:rPrChange w:id="14" w:author="coninckpjm" w:date="2017-05-29T19:37:00Z">
                <w:rPr/>
              </w:rPrChange>
            </w:rPr>
            <w:t>Scorecard</w:t>
          </w:r>
          <w:r>
            <w:rPr>
              <w:rStyle w:val="Huisstijl-Koptekst"/>
              <w:sz w:val="18"/>
              <w:szCs w:val="18"/>
              <w:lang w:val="en-GB"/>
            </w:rPr>
            <w:fldChar w:fldCharType="end"/>
          </w:r>
          <w:r w:rsidR="00546466" w:rsidRPr="007B163C">
            <w:rPr>
              <w:rStyle w:val="Huisstijl-Koptekst"/>
              <w:lang w:val="en-GB"/>
            </w:rPr>
            <w:t xml:space="preserve"> | </w:t>
          </w:r>
          <w:proofErr w:type="spellStart"/>
          <w:r w:rsidR="00546466">
            <w:rPr>
              <w:rStyle w:val="Huisstijl-Koptekst"/>
              <w:lang w:val="en-GB"/>
            </w:rPr>
            <w:t>Organisatie</w:t>
          </w:r>
          <w:proofErr w:type="spellEnd"/>
          <w:r w:rsidR="00546466" w:rsidRPr="008517DE">
            <w:rPr>
              <w:sz w:val="13"/>
              <w:lang w:val="en-GB"/>
            </w:rPr>
            <w:t xml:space="preserve"> </w:t>
          </w:r>
        </w:p>
      </w:tc>
    </w:tr>
  </w:tbl>
  <w:p w14:paraId="4E9FE1FF" w14:textId="77777777" w:rsidR="00546466" w:rsidRPr="008517DE" w:rsidRDefault="00546466" w:rsidP="00E51959">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0B0A2D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E86B23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678159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E521D6A"/>
    <w:lvl w:ilvl="0">
      <w:start w:val="1"/>
      <w:numFmt w:val="decimal"/>
      <w:pStyle w:val="ListNumber2"/>
      <w:lvlText w:val="%1"/>
      <w:lvlJc w:val="left"/>
      <w:pPr>
        <w:tabs>
          <w:tab w:val="num" w:pos="454"/>
        </w:tabs>
        <w:ind w:left="454" w:hanging="227"/>
      </w:pPr>
      <w:rPr>
        <w:rFonts w:hint="default"/>
        <w:color w:val="auto"/>
      </w:rPr>
    </w:lvl>
  </w:abstractNum>
  <w:abstractNum w:abstractNumId="4" w15:restartNumberingAfterBreak="0">
    <w:nsid w:val="FFFFFF80"/>
    <w:multiLevelType w:val="singleLevel"/>
    <w:tmpl w:val="A030E1F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FE200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28A1CE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03BB5F57"/>
    <w:multiLevelType w:val="multilevel"/>
    <w:tmpl w:val="5AEEDE88"/>
    <w:numStyleLink w:val="StyleBulleted"/>
  </w:abstractNum>
  <w:abstractNum w:abstractNumId="8" w15:restartNumberingAfterBreak="0">
    <w:nsid w:val="060B092F"/>
    <w:multiLevelType w:val="multilevel"/>
    <w:tmpl w:val="C6A2B8B4"/>
    <w:styleLink w:val="StyleNumbered"/>
    <w:lvl w:ilvl="0">
      <w:start w:val="1"/>
      <w:numFmt w:val="decimal"/>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bullet"/>
      <w:lvlText w:val="•"/>
      <w:lvlJc w:val="left"/>
      <w:pPr>
        <w:tabs>
          <w:tab w:val="num" w:pos="227"/>
        </w:tabs>
        <w:ind w:left="680" w:hanging="226"/>
      </w:pPr>
      <w:rPr>
        <w:rFonts w:ascii="Verdana" w:hAnsi="Verdana" w:hint="default"/>
        <w:color w:val="auto"/>
      </w:rPr>
    </w:lvl>
    <w:lvl w:ilvl="3">
      <w:start w:val="1"/>
      <w:numFmt w:val="bullet"/>
      <w:lvlText w:val="-"/>
      <w:lvlJc w:val="left"/>
      <w:pPr>
        <w:tabs>
          <w:tab w:val="num" w:pos="227"/>
        </w:tabs>
        <w:ind w:left="907" w:hanging="227"/>
      </w:pPr>
      <w:rPr>
        <w:rFonts w:ascii="Verdana" w:hAnsi="Verdana" w:hint="default"/>
        <w:color w:val="auto"/>
      </w:rPr>
    </w:lvl>
    <w:lvl w:ilvl="4">
      <w:start w:val="1"/>
      <w:numFmt w:val="bullet"/>
      <w:lvlText w:val="•"/>
      <w:lvlJc w:val="left"/>
      <w:pPr>
        <w:tabs>
          <w:tab w:val="num" w:pos="227"/>
        </w:tabs>
        <w:ind w:left="1134" w:hanging="227"/>
      </w:pPr>
      <w:rPr>
        <w:rFonts w:ascii="Verdana" w:hAnsi="Verdana" w:hint="default"/>
        <w:color w:val="auto"/>
      </w:rPr>
    </w:lvl>
    <w:lvl w:ilvl="5">
      <w:start w:val="1"/>
      <w:numFmt w:val="bullet"/>
      <w:lvlText w:val="-"/>
      <w:lvlJc w:val="left"/>
      <w:pPr>
        <w:tabs>
          <w:tab w:val="num" w:pos="227"/>
        </w:tabs>
        <w:ind w:left="1361" w:hanging="227"/>
      </w:pPr>
      <w:rPr>
        <w:rFonts w:ascii="Verdana" w:hAnsi="Verdana" w:hint="default"/>
        <w:color w:val="auto"/>
      </w:rPr>
    </w:lvl>
    <w:lvl w:ilvl="6">
      <w:start w:val="1"/>
      <w:numFmt w:val="bullet"/>
      <w:lvlText w:val="•"/>
      <w:lvlJc w:val="left"/>
      <w:pPr>
        <w:tabs>
          <w:tab w:val="num" w:pos="227"/>
        </w:tabs>
        <w:ind w:left="1588" w:hanging="227"/>
      </w:pPr>
      <w:rPr>
        <w:rFonts w:ascii="Verdana" w:hAnsi="Verdana" w:hint="default"/>
        <w:color w:val="auto"/>
      </w:rPr>
    </w:lvl>
    <w:lvl w:ilvl="7">
      <w:start w:val="1"/>
      <w:numFmt w:val="bullet"/>
      <w:lvlText w:val="-"/>
      <w:lvlJc w:val="left"/>
      <w:pPr>
        <w:tabs>
          <w:tab w:val="num" w:pos="227"/>
        </w:tabs>
        <w:ind w:left="1814" w:hanging="226"/>
      </w:pPr>
      <w:rPr>
        <w:rFonts w:ascii="Verdana" w:hAnsi="Verdana" w:hint="default"/>
        <w:color w:val="auto"/>
      </w:rPr>
    </w:lvl>
    <w:lvl w:ilvl="8">
      <w:start w:val="1"/>
      <w:numFmt w:val="bullet"/>
      <w:lvlText w:val="•"/>
      <w:lvlJc w:val="left"/>
      <w:pPr>
        <w:tabs>
          <w:tab w:val="num" w:pos="227"/>
        </w:tabs>
        <w:ind w:left="2041" w:hanging="227"/>
      </w:pPr>
      <w:rPr>
        <w:rFonts w:ascii="Verdana" w:hAnsi="Verdana" w:hint="default"/>
        <w:color w:val="auto"/>
      </w:rPr>
    </w:lvl>
  </w:abstractNum>
  <w:abstractNum w:abstractNumId="9" w15:restartNumberingAfterBreak="0">
    <w:nsid w:val="0A1B58B4"/>
    <w:multiLevelType w:val="hybridMultilevel"/>
    <w:tmpl w:val="9952683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10B51873"/>
    <w:multiLevelType w:val="hybridMultilevel"/>
    <w:tmpl w:val="75B881F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10E54B47"/>
    <w:multiLevelType w:val="multilevel"/>
    <w:tmpl w:val="6D5CBB06"/>
    <w:lvl w:ilvl="0">
      <w:start w:val="2"/>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12" w15:restartNumberingAfterBreak="0">
    <w:nsid w:val="13100EB3"/>
    <w:multiLevelType w:val="hybridMultilevel"/>
    <w:tmpl w:val="D514DF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1623655D"/>
    <w:multiLevelType w:val="multilevel"/>
    <w:tmpl w:val="5AEEDE88"/>
    <w:numStyleLink w:val="StyleBulleted"/>
  </w:abstractNum>
  <w:abstractNum w:abstractNumId="14" w15:restartNumberingAfterBreak="0">
    <w:nsid w:val="177758AC"/>
    <w:multiLevelType w:val="hybridMultilevel"/>
    <w:tmpl w:val="10F4AC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1A5A20BC"/>
    <w:multiLevelType w:val="multilevel"/>
    <w:tmpl w:val="5AEEDE88"/>
    <w:numStyleLink w:val="StyleBulleted"/>
  </w:abstractNum>
  <w:abstractNum w:abstractNumId="16" w15:restartNumberingAfterBreak="0">
    <w:nsid w:val="1E2809B5"/>
    <w:multiLevelType w:val="hybridMultilevel"/>
    <w:tmpl w:val="2B58164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15:restartNumberingAfterBreak="0">
    <w:nsid w:val="1E793868"/>
    <w:multiLevelType w:val="hybridMultilevel"/>
    <w:tmpl w:val="B320437C"/>
    <w:lvl w:ilvl="0" w:tplc="04130001">
      <w:start w:val="1"/>
      <w:numFmt w:val="bullet"/>
      <w:lvlText w:val=""/>
      <w:lvlJc w:val="left"/>
      <w:pPr>
        <w:ind w:left="133" w:hanging="360"/>
      </w:pPr>
      <w:rPr>
        <w:rFonts w:ascii="Symbol" w:hAnsi="Symbol" w:hint="default"/>
      </w:rPr>
    </w:lvl>
    <w:lvl w:ilvl="1" w:tplc="04130003" w:tentative="1">
      <w:start w:val="1"/>
      <w:numFmt w:val="bullet"/>
      <w:lvlText w:val="o"/>
      <w:lvlJc w:val="left"/>
      <w:pPr>
        <w:ind w:left="853" w:hanging="360"/>
      </w:pPr>
      <w:rPr>
        <w:rFonts w:ascii="Courier New" w:hAnsi="Courier New" w:cs="Courier New" w:hint="default"/>
      </w:rPr>
    </w:lvl>
    <w:lvl w:ilvl="2" w:tplc="04130005" w:tentative="1">
      <w:start w:val="1"/>
      <w:numFmt w:val="bullet"/>
      <w:lvlText w:val=""/>
      <w:lvlJc w:val="left"/>
      <w:pPr>
        <w:ind w:left="1573" w:hanging="360"/>
      </w:pPr>
      <w:rPr>
        <w:rFonts w:ascii="Wingdings" w:hAnsi="Wingdings" w:hint="default"/>
      </w:rPr>
    </w:lvl>
    <w:lvl w:ilvl="3" w:tplc="04130001" w:tentative="1">
      <w:start w:val="1"/>
      <w:numFmt w:val="bullet"/>
      <w:lvlText w:val=""/>
      <w:lvlJc w:val="left"/>
      <w:pPr>
        <w:ind w:left="2293" w:hanging="360"/>
      </w:pPr>
      <w:rPr>
        <w:rFonts w:ascii="Symbol" w:hAnsi="Symbol" w:hint="default"/>
      </w:rPr>
    </w:lvl>
    <w:lvl w:ilvl="4" w:tplc="04130003" w:tentative="1">
      <w:start w:val="1"/>
      <w:numFmt w:val="bullet"/>
      <w:lvlText w:val="o"/>
      <w:lvlJc w:val="left"/>
      <w:pPr>
        <w:ind w:left="3013" w:hanging="360"/>
      </w:pPr>
      <w:rPr>
        <w:rFonts w:ascii="Courier New" w:hAnsi="Courier New" w:cs="Courier New" w:hint="default"/>
      </w:rPr>
    </w:lvl>
    <w:lvl w:ilvl="5" w:tplc="04130005" w:tentative="1">
      <w:start w:val="1"/>
      <w:numFmt w:val="bullet"/>
      <w:lvlText w:val=""/>
      <w:lvlJc w:val="left"/>
      <w:pPr>
        <w:ind w:left="3733" w:hanging="360"/>
      </w:pPr>
      <w:rPr>
        <w:rFonts w:ascii="Wingdings" w:hAnsi="Wingdings" w:hint="default"/>
      </w:rPr>
    </w:lvl>
    <w:lvl w:ilvl="6" w:tplc="04130001" w:tentative="1">
      <w:start w:val="1"/>
      <w:numFmt w:val="bullet"/>
      <w:lvlText w:val=""/>
      <w:lvlJc w:val="left"/>
      <w:pPr>
        <w:ind w:left="4453" w:hanging="360"/>
      </w:pPr>
      <w:rPr>
        <w:rFonts w:ascii="Symbol" w:hAnsi="Symbol" w:hint="default"/>
      </w:rPr>
    </w:lvl>
    <w:lvl w:ilvl="7" w:tplc="04130003" w:tentative="1">
      <w:start w:val="1"/>
      <w:numFmt w:val="bullet"/>
      <w:lvlText w:val="o"/>
      <w:lvlJc w:val="left"/>
      <w:pPr>
        <w:ind w:left="5173" w:hanging="360"/>
      </w:pPr>
      <w:rPr>
        <w:rFonts w:ascii="Courier New" w:hAnsi="Courier New" w:cs="Courier New" w:hint="default"/>
      </w:rPr>
    </w:lvl>
    <w:lvl w:ilvl="8" w:tplc="04130005" w:tentative="1">
      <w:start w:val="1"/>
      <w:numFmt w:val="bullet"/>
      <w:lvlText w:val=""/>
      <w:lvlJc w:val="left"/>
      <w:pPr>
        <w:ind w:left="5893" w:hanging="360"/>
      </w:pPr>
      <w:rPr>
        <w:rFonts w:ascii="Wingdings" w:hAnsi="Wingdings" w:hint="default"/>
      </w:rPr>
    </w:lvl>
  </w:abstractNum>
  <w:abstractNum w:abstractNumId="18" w15:restartNumberingAfterBreak="0">
    <w:nsid w:val="1F803251"/>
    <w:multiLevelType w:val="hybridMultilevel"/>
    <w:tmpl w:val="00308E16"/>
    <w:lvl w:ilvl="0" w:tplc="7CB8302C">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FF653EB"/>
    <w:multiLevelType w:val="hybridMultilevel"/>
    <w:tmpl w:val="3C7CAB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228E5206"/>
    <w:multiLevelType w:val="hybridMultilevel"/>
    <w:tmpl w:val="0CE4D9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22F82FF2"/>
    <w:multiLevelType w:val="multilevel"/>
    <w:tmpl w:val="5AEEDE88"/>
    <w:numStyleLink w:val="StyleBulleted"/>
  </w:abstractNum>
  <w:abstractNum w:abstractNumId="22" w15:restartNumberingAfterBreak="0">
    <w:nsid w:val="25614042"/>
    <w:multiLevelType w:val="hybridMultilevel"/>
    <w:tmpl w:val="8976F9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272E4A80"/>
    <w:multiLevelType w:val="hybridMultilevel"/>
    <w:tmpl w:val="C316A3A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15:restartNumberingAfterBreak="0">
    <w:nsid w:val="320E7DDC"/>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25" w15:restartNumberingAfterBreak="0">
    <w:nsid w:val="372126F2"/>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26" w15:restartNumberingAfterBreak="0">
    <w:nsid w:val="38752550"/>
    <w:multiLevelType w:val="hybridMultilevel"/>
    <w:tmpl w:val="9C80422A"/>
    <w:lvl w:ilvl="0" w:tplc="17B82BDA">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39F36539"/>
    <w:multiLevelType w:val="hybridMultilevel"/>
    <w:tmpl w:val="2F681B3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15:restartNumberingAfterBreak="0">
    <w:nsid w:val="3ADC3C4A"/>
    <w:multiLevelType w:val="multilevel"/>
    <w:tmpl w:val="9F0C18F8"/>
    <w:lvl w:ilvl="0">
      <w:start w:val="1"/>
      <w:numFmt w:val="decimal"/>
      <w:pStyle w:val="ListNumber"/>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lowerRoman"/>
      <w:lvlText w:val="%3."/>
      <w:lvlJc w:val="right"/>
      <w:pPr>
        <w:tabs>
          <w:tab w:val="num" w:pos="2520"/>
        </w:tabs>
        <w:ind w:left="2520" w:hanging="18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29" w15:restartNumberingAfterBreak="0">
    <w:nsid w:val="408335F4"/>
    <w:multiLevelType w:val="multilevel"/>
    <w:tmpl w:val="5AEEDE88"/>
    <w:numStyleLink w:val="StyleBulleted"/>
  </w:abstractNum>
  <w:abstractNum w:abstractNumId="30" w15:restartNumberingAfterBreak="0">
    <w:nsid w:val="4C6D2E8B"/>
    <w:multiLevelType w:val="multilevel"/>
    <w:tmpl w:val="723E1294"/>
    <w:lvl w:ilvl="0">
      <w:start w:val="4"/>
      <w:numFmt w:val="decimal"/>
      <w:lvlText w:val="%1"/>
      <w:lvlJc w:val="left"/>
      <w:pPr>
        <w:ind w:left="360" w:hanging="360"/>
      </w:pPr>
      <w:rPr>
        <w:rFonts w:hint="default"/>
      </w:rPr>
    </w:lvl>
    <w:lvl w:ilvl="1">
      <w:start w:val="2"/>
      <w:numFmt w:val="decimal"/>
      <w:lvlText w:val="%1.%2"/>
      <w:lvlJc w:val="left"/>
      <w:pPr>
        <w:ind w:left="-442" w:hanging="72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172" w:hanging="180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31" w15:restartNumberingAfterBreak="0">
    <w:nsid w:val="4E153E44"/>
    <w:multiLevelType w:val="hybridMultilevel"/>
    <w:tmpl w:val="0A604B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4E207249"/>
    <w:multiLevelType w:val="hybridMultilevel"/>
    <w:tmpl w:val="69405766"/>
    <w:lvl w:ilvl="0" w:tplc="8BF24382">
      <w:start w:val="3"/>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D750EE7"/>
    <w:multiLevelType w:val="multilevel"/>
    <w:tmpl w:val="5AEEDE88"/>
    <w:numStyleLink w:val="StyleBulleted"/>
  </w:abstractNum>
  <w:abstractNum w:abstractNumId="34" w15:restartNumberingAfterBreak="0">
    <w:nsid w:val="5FD11CC6"/>
    <w:multiLevelType w:val="multilevel"/>
    <w:tmpl w:val="3F7A972E"/>
    <w:lvl w:ilvl="0">
      <w:start w:val="1"/>
      <w:numFmt w:val="decimal"/>
      <w:lvlText w:val="%1"/>
      <w:lvlJc w:val="left"/>
      <w:pPr>
        <w:tabs>
          <w:tab w:val="num" w:pos="360"/>
        </w:tabs>
        <w:ind w:left="360" w:hanging="1160"/>
      </w:pPr>
      <w:rPr>
        <w:rFonts w:ascii="Verdana" w:hAnsi="Verdana" w:hint="default"/>
        <w:b/>
        <w:i w:val="0"/>
        <w:sz w:val="18"/>
      </w:rPr>
    </w:lvl>
    <w:lvl w:ilvl="1">
      <w:start w:val="1"/>
      <w:numFmt w:val="decimal"/>
      <w:lvlText w:val="%1.%2"/>
      <w:lvlJc w:val="left"/>
      <w:pPr>
        <w:tabs>
          <w:tab w:val="num" w:pos="0"/>
        </w:tabs>
        <w:ind w:left="0" w:hanging="1160"/>
      </w:pPr>
      <w:rPr>
        <w:rFonts w:ascii="Verdana" w:hAnsi="Verdana" w:hint="default"/>
        <w:b w:val="0"/>
        <w:i w:val="0"/>
        <w:sz w:val="18"/>
      </w:rPr>
    </w:lvl>
    <w:lvl w:ilvl="2">
      <w:start w:val="1"/>
      <w:numFmt w:val="decimal"/>
      <w:lvlText w:val="%1.%2.%3"/>
      <w:lvlJc w:val="left"/>
      <w:pPr>
        <w:tabs>
          <w:tab w:val="num" w:pos="0"/>
        </w:tabs>
        <w:ind w:left="0" w:hanging="1160"/>
      </w:pPr>
      <w:rPr>
        <w:rFonts w:hint="default"/>
      </w:rPr>
    </w:lvl>
    <w:lvl w:ilvl="3">
      <w:start w:val="1"/>
      <w:numFmt w:val="decimal"/>
      <w:lvlText w:val="%1.%2.%3.%4"/>
      <w:lvlJc w:val="left"/>
      <w:pPr>
        <w:tabs>
          <w:tab w:val="num" w:pos="540"/>
        </w:tabs>
        <w:ind w:left="540" w:hanging="1160"/>
      </w:pPr>
      <w:rPr>
        <w:rFonts w:hint="default"/>
      </w:rPr>
    </w:lvl>
    <w:lvl w:ilvl="4">
      <w:start w:val="1"/>
      <w:numFmt w:val="decimal"/>
      <w:lvlText w:val="%1.%2.%3.%4.%5"/>
      <w:lvlJc w:val="left"/>
      <w:pPr>
        <w:tabs>
          <w:tab w:val="num" w:pos="388"/>
        </w:tabs>
        <w:ind w:left="388" w:hanging="1008"/>
      </w:pPr>
      <w:rPr>
        <w:rFonts w:hint="default"/>
      </w:rPr>
    </w:lvl>
    <w:lvl w:ilvl="5">
      <w:start w:val="1"/>
      <w:numFmt w:val="decimal"/>
      <w:pStyle w:val="Heading6"/>
      <w:lvlText w:val="%1.%2.%3.%4.%5.%6"/>
      <w:lvlJc w:val="left"/>
      <w:pPr>
        <w:tabs>
          <w:tab w:val="num" w:pos="532"/>
        </w:tabs>
        <w:ind w:left="532" w:hanging="1152"/>
      </w:pPr>
      <w:rPr>
        <w:rFonts w:hint="default"/>
      </w:rPr>
    </w:lvl>
    <w:lvl w:ilvl="6">
      <w:start w:val="1"/>
      <w:numFmt w:val="decimal"/>
      <w:pStyle w:val="Heading7"/>
      <w:lvlText w:val="%1.%2.%3.%4.%5.%6.%7"/>
      <w:lvlJc w:val="left"/>
      <w:pPr>
        <w:tabs>
          <w:tab w:val="num" w:pos="676"/>
        </w:tabs>
        <w:ind w:left="676" w:hanging="1296"/>
      </w:pPr>
      <w:rPr>
        <w:rFonts w:hint="default"/>
      </w:rPr>
    </w:lvl>
    <w:lvl w:ilvl="7">
      <w:start w:val="1"/>
      <w:numFmt w:val="decimal"/>
      <w:pStyle w:val="Heading8"/>
      <w:lvlText w:val="%8"/>
      <w:lvlJc w:val="left"/>
      <w:pPr>
        <w:tabs>
          <w:tab w:val="num" w:pos="820"/>
        </w:tabs>
        <w:ind w:left="820" w:hanging="1440"/>
      </w:pPr>
      <w:rPr>
        <w:rFonts w:hint="default"/>
      </w:rPr>
    </w:lvl>
    <w:lvl w:ilvl="8">
      <w:start w:val="1"/>
      <w:numFmt w:val="decimal"/>
      <w:pStyle w:val="Heading9"/>
      <w:lvlText w:val="%8.%9"/>
      <w:lvlJc w:val="left"/>
      <w:pPr>
        <w:tabs>
          <w:tab w:val="num" w:pos="964"/>
        </w:tabs>
        <w:ind w:left="964" w:hanging="1584"/>
      </w:pPr>
      <w:rPr>
        <w:rFonts w:hint="default"/>
      </w:rPr>
    </w:lvl>
  </w:abstractNum>
  <w:abstractNum w:abstractNumId="35" w15:restartNumberingAfterBreak="0">
    <w:nsid w:val="63404D5D"/>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6" w15:restartNumberingAfterBreak="0">
    <w:nsid w:val="63A20AAC"/>
    <w:multiLevelType w:val="multilevel"/>
    <w:tmpl w:val="5AEEDE88"/>
    <w:numStyleLink w:val="StyleBulleted"/>
  </w:abstractNum>
  <w:abstractNum w:abstractNumId="37" w15:restartNumberingAfterBreak="0">
    <w:nsid w:val="65441EC1"/>
    <w:multiLevelType w:val="multilevel"/>
    <w:tmpl w:val="73E8F73E"/>
    <w:lvl w:ilvl="0">
      <w:start w:val="1"/>
      <w:numFmt w:val="bullet"/>
      <w:pStyle w:val="ListBullet"/>
      <w:lvlText w:val=""/>
      <w:lvlJc w:val="left"/>
      <w:pPr>
        <w:tabs>
          <w:tab w:val="num" w:pos="227"/>
        </w:tabs>
        <w:ind w:left="227" w:hanging="227"/>
      </w:pPr>
      <w:rPr>
        <w:rFonts w:ascii="Symbol" w:hAnsi="Symbol"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lowerRoman"/>
      <w:lvlText w:val="%3."/>
      <w:lvlJc w:val="right"/>
      <w:pPr>
        <w:tabs>
          <w:tab w:val="num" w:pos="2747"/>
        </w:tabs>
        <w:ind w:left="2747" w:hanging="180"/>
      </w:pPr>
      <w:rPr>
        <w:rFonts w:hint="default"/>
      </w:rPr>
    </w:lvl>
    <w:lvl w:ilvl="3">
      <w:start w:val="1"/>
      <w:numFmt w:val="decimal"/>
      <w:lvlText w:val="%4."/>
      <w:lvlJc w:val="left"/>
      <w:pPr>
        <w:tabs>
          <w:tab w:val="num" w:pos="3467"/>
        </w:tabs>
        <w:ind w:left="3467" w:hanging="360"/>
      </w:pPr>
      <w:rPr>
        <w:rFonts w:hint="default"/>
      </w:rPr>
    </w:lvl>
    <w:lvl w:ilvl="4">
      <w:start w:val="1"/>
      <w:numFmt w:val="lowerLetter"/>
      <w:lvlText w:val="%5."/>
      <w:lvlJc w:val="left"/>
      <w:pPr>
        <w:tabs>
          <w:tab w:val="num" w:pos="4187"/>
        </w:tabs>
        <w:ind w:left="4187" w:hanging="360"/>
      </w:pPr>
      <w:rPr>
        <w:rFonts w:hint="default"/>
      </w:rPr>
    </w:lvl>
    <w:lvl w:ilvl="5">
      <w:start w:val="1"/>
      <w:numFmt w:val="lowerRoman"/>
      <w:lvlText w:val="%6."/>
      <w:lvlJc w:val="right"/>
      <w:pPr>
        <w:tabs>
          <w:tab w:val="num" w:pos="4907"/>
        </w:tabs>
        <w:ind w:left="4907" w:hanging="180"/>
      </w:pPr>
      <w:rPr>
        <w:rFonts w:hint="default"/>
      </w:rPr>
    </w:lvl>
    <w:lvl w:ilvl="6">
      <w:start w:val="1"/>
      <w:numFmt w:val="decimal"/>
      <w:lvlText w:val="%7."/>
      <w:lvlJc w:val="left"/>
      <w:pPr>
        <w:tabs>
          <w:tab w:val="num" w:pos="5627"/>
        </w:tabs>
        <w:ind w:left="5627" w:hanging="360"/>
      </w:pPr>
      <w:rPr>
        <w:rFonts w:hint="default"/>
      </w:rPr>
    </w:lvl>
    <w:lvl w:ilvl="7">
      <w:start w:val="1"/>
      <w:numFmt w:val="lowerLetter"/>
      <w:lvlText w:val="%8."/>
      <w:lvlJc w:val="left"/>
      <w:pPr>
        <w:tabs>
          <w:tab w:val="num" w:pos="6347"/>
        </w:tabs>
        <w:ind w:left="6347" w:hanging="360"/>
      </w:pPr>
      <w:rPr>
        <w:rFonts w:hint="default"/>
      </w:rPr>
    </w:lvl>
    <w:lvl w:ilvl="8">
      <w:start w:val="1"/>
      <w:numFmt w:val="lowerRoman"/>
      <w:lvlText w:val="%9."/>
      <w:lvlJc w:val="right"/>
      <w:pPr>
        <w:tabs>
          <w:tab w:val="num" w:pos="7067"/>
        </w:tabs>
        <w:ind w:left="7067" w:hanging="180"/>
      </w:pPr>
      <w:rPr>
        <w:rFonts w:hint="default"/>
      </w:rPr>
    </w:lvl>
  </w:abstractNum>
  <w:abstractNum w:abstractNumId="38" w15:restartNumberingAfterBreak="0">
    <w:nsid w:val="6B696A63"/>
    <w:multiLevelType w:val="multilevel"/>
    <w:tmpl w:val="5AEEDE88"/>
    <w:styleLink w:val="StyleBulleted"/>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9" w15:restartNumberingAfterBreak="0">
    <w:nsid w:val="6D193965"/>
    <w:multiLevelType w:val="multilevel"/>
    <w:tmpl w:val="5AEEDE88"/>
    <w:numStyleLink w:val="StyleBulleted"/>
  </w:abstractNum>
  <w:abstractNum w:abstractNumId="40" w15:restartNumberingAfterBreak="0">
    <w:nsid w:val="6E6146F9"/>
    <w:multiLevelType w:val="hybridMultilevel"/>
    <w:tmpl w:val="F3C6B888"/>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41" w15:restartNumberingAfterBreak="0">
    <w:nsid w:val="6F1B2CBC"/>
    <w:multiLevelType w:val="multilevel"/>
    <w:tmpl w:val="5AEEDE88"/>
    <w:numStyleLink w:val="StyleBulleted"/>
  </w:abstractNum>
  <w:abstractNum w:abstractNumId="42" w15:restartNumberingAfterBreak="0">
    <w:nsid w:val="71A63D82"/>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43" w15:restartNumberingAfterBreak="0">
    <w:nsid w:val="77555624"/>
    <w:multiLevelType w:val="multilevel"/>
    <w:tmpl w:val="53AC82DE"/>
    <w:lvl w:ilvl="0">
      <w:start w:val="3"/>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44" w15:restartNumberingAfterBreak="0">
    <w:nsid w:val="7AE14C9B"/>
    <w:multiLevelType w:val="hybridMultilevel"/>
    <w:tmpl w:val="267A61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7BA00343"/>
    <w:multiLevelType w:val="hybridMultilevel"/>
    <w:tmpl w:val="BBDA406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34"/>
  </w:num>
  <w:num w:numId="2">
    <w:abstractNumId w:val="37"/>
  </w:num>
  <w:num w:numId="3">
    <w:abstractNumId w:val="28"/>
  </w:num>
  <w:num w:numId="4">
    <w:abstractNumId w:val="3"/>
  </w:num>
  <w:num w:numId="5">
    <w:abstractNumId w:val="38"/>
  </w:num>
  <w:num w:numId="6">
    <w:abstractNumId w:val="8"/>
  </w:num>
  <w:num w:numId="7">
    <w:abstractNumId w:val="18"/>
  </w:num>
  <w:num w:numId="8">
    <w:abstractNumId w:val="41"/>
  </w:num>
  <w:num w:numId="9">
    <w:abstractNumId w:val="36"/>
  </w:num>
  <w:num w:numId="10">
    <w:abstractNumId w:val="21"/>
  </w:num>
  <w:num w:numId="11">
    <w:abstractNumId w:val="13"/>
  </w:num>
  <w:num w:numId="12">
    <w:abstractNumId w:val="39"/>
  </w:num>
  <w:num w:numId="13">
    <w:abstractNumId w:val="25"/>
  </w:num>
  <w:num w:numId="14">
    <w:abstractNumId w:val="7"/>
  </w:num>
  <w:num w:numId="15">
    <w:abstractNumId w:val="15"/>
  </w:num>
  <w:num w:numId="16">
    <w:abstractNumId w:val="35"/>
  </w:num>
  <w:num w:numId="17">
    <w:abstractNumId w:val="29"/>
  </w:num>
  <w:num w:numId="18">
    <w:abstractNumId w:val="33"/>
  </w:num>
  <w:num w:numId="19">
    <w:abstractNumId w:val="24"/>
  </w:num>
  <w:num w:numId="20">
    <w:abstractNumId w:val="43"/>
  </w:num>
  <w:num w:numId="21">
    <w:abstractNumId w:val="11"/>
  </w:num>
  <w:num w:numId="22">
    <w:abstractNumId w:val="30"/>
  </w:num>
  <w:num w:numId="23">
    <w:abstractNumId w:val="44"/>
  </w:num>
  <w:num w:numId="24">
    <w:abstractNumId w:val="22"/>
  </w:num>
  <w:num w:numId="25">
    <w:abstractNumId w:val="22"/>
  </w:num>
  <w:num w:numId="26">
    <w:abstractNumId w:val="17"/>
  </w:num>
  <w:num w:numId="27">
    <w:abstractNumId w:val="16"/>
  </w:num>
  <w:num w:numId="28">
    <w:abstractNumId w:val="14"/>
  </w:num>
  <w:num w:numId="29">
    <w:abstractNumId w:val="12"/>
  </w:num>
  <w:num w:numId="30">
    <w:abstractNumId w:val="9"/>
  </w:num>
  <w:num w:numId="31">
    <w:abstractNumId w:val="27"/>
  </w:num>
  <w:num w:numId="32">
    <w:abstractNumId w:val="26"/>
  </w:num>
  <w:num w:numId="33">
    <w:abstractNumId w:val="23"/>
  </w:num>
  <w:num w:numId="34">
    <w:abstractNumId w:val="45"/>
  </w:num>
  <w:num w:numId="35">
    <w:abstractNumId w:val="10"/>
  </w:num>
  <w:num w:numId="36">
    <w:abstractNumId w:val="32"/>
  </w:num>
  <w:num w:numId="37">
    <w:abstractNumId w:val="42"/>
  </w:num>
  <w:num w:numId="38">
    <w:abstractNumId w:val="20"/>
  </w:num>
  <w:num w:numId="39">
    <w:abstractNumId w:val="31"/>
  </w:num>
  <w:num w:numId="40">
    <w:abstractNumId w:val="40"/>
  </w:num>
  <w:num w:numId="41">
    <w:abstractNumId w:val="6"/>
  </w:num>
  <w:num w:numId="42">
    <w:abstractNumId w:val="5"/>
  </w:num>
  <w:num w:numId="43">
    <w:abstractNumId w:val="4"/>
  </w:num>
  <w:num w:numId="44">
    <w:abstractNumId w:val="2"/>
  </w:num>
  <w:num w:numId="45">
    <w:abstractNumId w:val="1"/>
  </w:num>
  <w:num w:numId="46">
    <w:abstractNumId w:val="0"/>
  </w:num>
  <w:num w:numId="47">
    <w:abstractNumId w:val="19"/>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obbelen, Audrey">
    <w15:presenceInfo w15:providerId="AD" w15:userId="S-1-5-21-1180395095-3053840551-1943663836-3767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227"/>
  <w:hyphenationZone w:val="425"/>
  <w:characterSpacingControl w:val="doNotCompress"/>
  <w:hdrShapeDefaults>
    <o:shapedefaults v:ext="edit" spidmax="115713" fill="f" fillcolor="white" stroke="f">
      <v:fill color="white" on="f"/>
      <v:stroke on="f"/>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F18"/>
    <w:rsid w:val="00001691"/>
    <w:rsid w:val="0000367D"/>
    <w:rsid w:val="0000392E"/>
    <w:rsid w:val="00003A32"/>
    <w:rsid w:val="00003B6C"/>
    <w:rsid w:val="00005884"/>
    <w:rsid w:val="00006E47"/>
    <w:rsid w:val="0001095C"/>
    <w:rsid w:val="000114F8"/>
    <w:rsid w:val="00011B6B"/>
    <w:rsid w:val="00011F53"/>
    <w:rsid w:val="00013045"/>
    <w:rsid w:val="00013196"/>
    <w:rsid w:val="000145B2"/>
    <w:rsid w:val="00014D55"/>
    <w:rsid w:val="000150A9"/>
    <w:rsid w:val="000160B6"/>
    <w:rsid w:val="00016C57"/>
    <w:rsid w:val="00020189"/>
    <w:rsid w:val="00020EE4"/>
    <w:rsid w:val="000227EB"/>
    <w:rsid w:val="000234D6"/>
    <w:rsid w:val="0002505B"/>
    <w:rsid w:val="0002628D"/>
    <w:rsid w:val="00026447"/>
    <w:rsid w:val="00026800"/>
    <w:rsid w:val="0002695C"/>
    <w:rsid w:val="000304C1"/>
    <w:rsid w:val="00031268"/>
    <w:rsid w:val="00032C0E"/>
    <w:rsid w:val="00033419"/>
    <w:rsid w:val="00033426"/>
    <w:rsid w:val="00033950"/>
    <w:rsid w:val="00033E8D"/>
    <w:rsid w:val="00034A84"/>
    <w:rsid w:val="00035E67"/>
    <w:rsid w:val="0004192F"/>
    <w:rsid w:val="000422E7"/>
    <w:rsid w:val="00044809"/>
    <w:rsid w:val="00045A4F"/>
    <w:rsid w:val="00046866"/>
    <w:rsid w:val="00047318"/>
    <w:rsid w:val="00047536"/>
    <w:rsid w:val="00047E3F"/>
    <w:rsid w:val="0005061F"/>
    <w:rsid w:val="00050ABD"/>
    <w:rsid w:val="00050B6A"/>
    <w:rsid w:val="00051416"/>
    <w:rsid w:val="0005233C"/>
    <w:rsid w:val="000559DE"/>
    <w:rsid w:val="00056F25"/>
    <w:rsid w:val="00056F72"/>
    <w:rsid w:val="000574EE"/>
    <w:rsid w:val="00057B03"/>
    <w:rsid w:val="0006027D"/>
    <w:rsid w:val="000605A3"/>
    <w:rsid w:val="00063A00"/>
    <w:rsid w:val="00064CBC"/>
    <w:rsid w:val="00066F2B"/>
    <w:rsid w:val="0006700B"/>
    <w:rsid w:val="000705D1"/>
    <w:rsid w:val="0007105F"/>
    <w:rsid w:val="000712D0"/>
    <w:rsid w:val="00071A17"/>
    <w:rsid w:val="00071F28"/>
    <w:rsid w:val="00072371"/>
    <w:rsid w:val="00072D71"/>
    <w:rsid w:val="00072DE4"/>
    <w:rsid w:val="00074FCD"/>
    <w:rsid w:val="00076FCC"/>
    <w:rsid w:val="00077900"/>
    <w:rsid w:val="00080AE8"/>
    <w:rsid w:val="00081825"/>
    <w:rsid w:val="00081DD4"/>
    <w:rsid w:val="0008255C"/>
    <w:rsid w:val="00082BB1"/>
    <w:rsid w:val="0008400E"/>
    <w:rsid w:val="000842B5"/>
    <w:rsid w:val="000842F4"/>
    <w:rsid w:val="00085F22"/>
    <w:rsid w:val="0008640E"/>
    <w:rsid w:val="0008784B"/>
    <w:rsid w:val="00087FA0"/>
    <w:rsid w:val="000903DE"/>
    <w:rsid w:val="00090808"/>
    <w:rsid w:val="0009114D"/>
    <w:rsid w:val="000912C6"/>
    <w:rsid w:val="00091A58"/>
    <w:rsid w:val="000924C1"/>
    <w:rsid w:val="00093522"/>
    <w:rsid w:val="00094518"/>
    <w:rsid w:val="00094A14"/>
    <w:rsid w:val="00094B45"/>
    <w:rsid w:val="000964EA"/>
    <w:rsid w:val="00096680"/>
    <w:rsid w:val="00097B3F"/>
    <w:rsid w:val="00097FC7"/>
    <w:rsid w:val="000A01F6"/>
    <w:rsid w:val="000A0BB1"/>
    <w:rsid w:val="000A10C3"/>
    <w:rsid w:val="000A22CF"/>
    <w:rsid w:val="000A27FF"/>
    <w:rsid w:val="000A2DF7"/>
    <w:rsid w:val="000A34C3"/>
    <w:rsid w:val="000A381C"/>
    <w:rsid w:val="000A3AF6"/>
    <w:rsid w:val="000A780B"/>
    <w:rsid w:val="000A7FB0"/>
    <w:rsid w:val="000B2A0F"/>
    <w:rsid w:val="000B3C45"/>
    <w:rsid w:val="000B477F"/>
    <w:rsid w:val="000B64F8"/>
    <w:rsid w:val="000B6609"/>
    <w:rsid w:val="000B7281"/>
    <w:rsid w:val="000B73BA"/>
    <w:rsid w:val="000C05BF"/>
    <w:rsid w:val="000C0757"/>
    <w:rsid w:val="000C07A1"/>
    <w:rsid w:val="000C082E"/>
    <w:rsid w:val="000C0FB6"/>
    <w:rsid w:val="000C3929"/>
    <w:rsid w:val="000C3F40"/>
    <w:rsid w:val="000C43A2"/>
    <w:rsid w:val="000C4679"/>
    <w:rsid w:val="000C521E"/>
    <w:rsid w:val="000C575D"/>
    <w:rsid w:val="000C5810"/>
    <w:rsid w:val="000C5E4F"/>
    <w:rsid w:val="000C6EED"/>
    <w:rsid w:val="000D2C16"/>
    <w:rsid w:val="000D3986"/>
    <w:rsid w:val="000D5A0D"/>
    <w:rsid w:val="000D5AA2"/>
    <w:rsid w:val="000D694B"/>
    <w:rsid w:val="000D7BB7"/>
    <w:rsid w:val="000E15AA"/>
    <w:rsid w:val="000E21AD"/>
    <w:rsid w:val="000E3955"/>
    <w:rsid w:val="000E5238"/>
    <w:rsid w:val="000E701E"/>
    <w:rsid w:val="000F011B"/>
    <w:rsid w:val="000F03D7"/>
    <w:rsid w:val="000F1533"/>
    <w:rsid w:val="000F1A72"/>
    <w:rsid w:val="000F2632"/>
    <w:rsid w:val="000F46A7"/>
    <w:rsid w:val="000F4B53"/>
    <w:rsid w:val="000F53BE"/>
    <w:rsid w:val="000F6168"/>
    <w:rsid w:val="000F6B5C"/>
    <w:rsid w:val="00101F98"/>
    <w:rsid w:val="00102DFB"/>
    <w:rsid w:val="001031E7"/>
    <w:rsid w:val="00104517"/>
    <w:rsid w:val="00104703"/>
    <w:rsid w:val="00105A04"/>
    <w:rsid w:val="001069BA"/>
    <w:rsid w:val="00107EB4"/>
    <w:rsid w:val="00116475"/>
    <w:rsid w:val="0011653C"/>
    <w:rsid w:val="001166D2"/>
    <w:rsid w:val="00116E2A"/>
    <w:rsid w:val="00117C4B"/>
    <w:rsid w:val="001210BF"/>
    <w:rsid w:val="00121AD6"/>
    <w:rsid w:val="00122BDB"/>
    <w:rsid w:val="00123082"/>
    <w:rsid w:val="00123704"/>
    <w:rsid w:val="00123B4A"/>
    <w:rsid w:val="00124B64"/>
    <w:rsid w:val="00125028"/>
    <w:rsid w:val="00125154"/>
    <w:rsid w:val="00125A07"/>
    <w:rsid w:val="00125E17"/>
    <w:rsid w:val="001270C7"/>
    <w:rsid w:val="00130DA2"/>
    <w:rsid w:val="00130F41"/>
    <w:rsid w:val="00131D1F"/>
    <w:rsid w:val="00131DF6"/>
    <w:rsid w:val="00133B50"/>
    <w:rsid w:val="00134D07"/>
    <w:rsid w:val="001351AB"/>
    <w:rsid w:val="00136130"/>
    <w:rsid w:val="00136D94"/>
    <w:rsid w:val="0014161D"/>
    <w:rsid w:val="00142259"/>
    <w:rsid w:val="00142628"/>
    <w:rsid w:val="00142859"/>
    <w:rsid w:val="001429A1"/>
    <w:rsid w:val="00142BCD"/>
    <w:rsid w:val="00144379"/>
    <w:rsid w:val="00146130"/>
    <w:rsid w:val="0014786A"/>
    <w:rsid w:val="001478D8"/>
    <w:rsid w:val="0015051B"/>
    <w:rsid w:val="0015109B"/>
    <w:rsid w:val="001516A4"/>
    <w:rsid w:val="00152132"/>
    <w:rsid w:val="00154AD8"/>
    <w:rsid w:val="00156241"/>
    <w:rsid w:val="00161DAE"/>
    <w:rsid w:val="001621B4"/>
    <w:rsid w:val="00163F42"/>
    <w:rsid w:val="00163F5B"/>
    <w:rsid w:val="00163FA2"/>
    <w:rsid w:val="00163FF4"/>
    <w:rsid w:val="00164384"/>
    <w:rsid w:val="00164D75"/>
    <w:rsid w:val="00165175"/>
    <w:rsid w:val="00165BCE"/>
    <w:rsid w:val="00165EB3"/>
    <w:rsid w:val="00166242"/>
    <w:rsid w:val="00166378"/>
    <w:rsid w:val="00167F79"/>
    <w:rsid w:val="00171AFC"/>
    <w:rsid w:val="00172591"/>
    <w:rsid w:val="001739A0"/>
    <w:rsid w:val="00175043"/>
    <w:rsid w:val="001753DD"/>
    <w:rsid w:val="001802CA"/>
    <w:rsid w:val="00180CBA"/>
    <w:rsid w:val="00181629"/>
    <w:rsid w:val="00181A35"/>
    <w:rsid w:val="00182302"/>
    <w:rsid w:val="00182C7C"/>
    <w:rsid w:val="0018350E"/>
    <w:rsid w:val="00183CBA"/>
    <w:rsid w:val="00183FB1"/>
    <w:rsid w:val="00185576"/>
    <w:rsid w:val="00185951"/>
    <w:rsid w:val="00187332"/>
    <w:rsid w:val="001873C9"/>
    <w:rsid w:val="00191587"/>
    <w:rsid w:val="00192687"/>
    <w:rsid w:val="0019336F"/>
    <w:rsid w:val="00193994"/>
    <w:rsid w:val="00194809"/>
    <w:rsid w:val="001952F9"/>
    <w:rsid w:val="00195B13"/>
    <w:rsid w:val="001A2505"/>
    <w:rsid w:val="001A3626"/>
    <w:rsid w:val="001A42A2"/>
    <w:rsid w:val="001A4CE3"/>
    <w:rsid w:val="001A5422"/>
    <w:rsid w:val="001B0189"/>
    <w:rsid w:val="001B01D9"/>
    <w:rsid w:val="001B0E4A"/>
    <w:rsid w:val="001B1B4E"/>
    <w:rsid w:val="001B2C4B"/>
    <w:rsid w:val="001B4BE7"/>
    <w:rsid w:val="001B570A"/>
    <w:rsid w:val="001B5DC5"/>
    <w:rsid w:val="001B793F"/>
    <w:rsid w:val="001B7D7E"/>
    <w:rsid w:val="001C0CF4"/>
    <w:rsid w:val="001C0DDC"/>
    <w:rsid w:val="001C1AF8"/>
    <w:rsid w:val="001C38A3"/>
    <w:rsid w:val="001C3DBE"/>
    <w:rsid w:val="001C3DE6"/>
    <w:rsid w:val="001C45B4"/>
    <w:rsid w:val="001C47F8"/>
    <w:rsid w:val="001C49CC"/>
    <w:rsid w:val="001C6550"/>
    <w:rsid w:val="001C793E"/>
    <w:rsid w:val="001D0371"/>
    <w:rsid w:val="001D0FB6"/>
    <w:rsid w:val="001D0FC0"/>
    <w:rsid w:val="001D288C"/>
    <w:rsid w:val="001D5178"/>
    <w:rsid w:val="001D7F60"/>
    <w:rsid w:val="001E1E35"/>
    <w:rsid w:val="001E2B9C"/>
    <w:rsid w:val="001E34C6"/>
    <w:rsid w:val="001E5581"/>
    <w:rsid w:val="001E73BA"/>
    <w:rsid w:val="001F0250"/>
    <w:rsid w:val="001F081A"/>
    <w:rsid w:val="001F0D75"/>
    <w:rsid w:val="001F2538"/>
    <w:rsid w:val="001F29D9"/>
    <w:rsid w:val="001F3AD3"/>
    <w:rsid w:val="001F4D72"/>
    <w:rsid w:val="001F562C"/>
    <w:rsid w:val="001F583B"/>
    <w:rsid w:val="001F6340"/>
    <w:rsid w:val="002025C1"/>
    <w:rsid w:val="00202A7B"/>
    <w:rsid w:val="002030F5"/>
    <w:rsid w:val="002068BD"/>
    <w:rsid w:val="00206A0E"/>
    <w:rsid w:val="00210629"/>
    <w:rsid w:val="00211122"/>
    <w:rsid w:val="002121BE"/>
    <w:rsid w:val="0021384A"/>
    <w:rsid w:val="00216302"/>
    <w:rsid w:val="002165AB"/>
    <w:rsid w:val="002168DA"/>
    <w:rsid w:val="00216ADD"/>
    <w:rsid w:val="002212B1"/>
    <w:rsid w:val="00221806"/>
    <w:rsid w:val="002222A2"/>
    <w:rsid w:val="0022295F"/>
    <w:rsid w:val="00223E42"/>
    <w:rsid w:val="00226D74"/>
    <w:rsid w:val="002330BE"/>
    <w:rsid w:val="00234DF4"/>
    <w:rsid w:val="00234F48"/>
    <w:rsid w:val="00235C2A"/>
    <w:rsid w:val="00237401"/>
    <w:rsid w:val="00237419"/>
    <w:rsid w:val="00237F45"/>
    <w:rsid w:val="0024038C"/>
    <w:rsid w:val="0024163C"/>
    <w:rsid w:val="00242356"/>
    <w:rsid w:val="002428E3"/>
    <w:rsid w:val="00247458"/>
    <w:rsid w:val="00247486"/>
    <w:rsid w:val="0025034D"/>
    <w:rsid w:val="00253B15"/>
    <w:rsid w:val="00254103"/>
    <w:rsid w:val="0025648A"/>
    <w:rsid w:val="002568BC"/>
    <w:rsid w:val="002568DB"/>
    <w:rsid w:val="00256E73"/>
    <w:rsid w:val="002579E2"/>
    <w:rsid w:val="002606D9"/>
    <w:rsid w:val="00260BAF"/>
    <w:rsid w:val="00261A47"/>
    <w:rsid w:val="00261F77"/>
    <w:rsid w:val="002633CA"/>
    <w:rsid w:val="002644F5"/>
    <w:rsid w:val="00264CB9"/>
    <w:rsid w:val="002650F7"/>
    <w:rsid w:val="00265466"/>
    <w:rsid w:val="00266018"/>
    <w:rsid w:val="00266529"/>
    <w:rsid w:val="002668D1"/>
    <w:rsid w:val="00267BA5"/>
    <w:rsid w:val="0027051F"/>
    <w:rsid w:val="00270B71"/>
    <w:rsid w:val="002731C3"/>
    <w:rsid w:val="002733CD"/>
    <w:rsid w:val="00273CFD"/>
    <w:rsid w:val="0027471C"/>
    <w:rsid w:val="002803F3"/>
    <w:rsid w:val="0028070F"/>
    <w:rsid w:val="00280CF7"/>
    <w:rsid w:val="00280F74"/>
    <w:rsid w:val="00281846"/>
    <w:rsid w:val="002821F9"/>
    <w:rsid w:val="00283363"/>
    <w:rsid w:val="00286998"/>
    <w:rsid w:val="002874CC"/>
    <w:rsid w:val="002902F6"/>
    <w:rsid w:val="00290320"/>
    <w:rsid w:val="00290657"/>
    <w:rsid w:val="002912E8"/>
    <w:rsid w:val="0029530A"/>
    <w:rsid w:val="002957DE"/>
    <w:rsid w:val="00296115"/>
    <w:rsid w:val="00297320"/>
    <w:rsid w:val="002A149F"/>
    <w:rsid w:val="002A1CB5"/>
    <w:rsid w:val="002A310E"/>
    <w:rsid w:val="002A366D"/>
    <w:rsid w:val="002A3E23"/>
    <w:rsid w:val="002A5261"/>
    <w:rsid w:val="002A5AD6"/>
    <w:rsid w:val="002A6BF7"/>
    <w:rsid w:val="002A6EA1"/>
    <w:rsid w:val="002A7263"/>
    <w:rsid w:val="002B0F2F"/>
    <w:rsid w:val="002B1316"/>
    <w:rsid w:val="002B153C"/>
    <w:rsid w:val="002B431F"/>
    <w:rsid w:val="002B7582"/>
    <w:rsid w:val="002B76D0"/>
    <w:rsid w:val="002C2147"/>
    <w:rsid w:val="002C2320"/>
    <w:rsid w:val="002C3659"/>
    <w:rsid w:val="002C4362"/>
    <w:rsid w:val="002C45B0"/>
    <w:rsid w:val="002C6064"/>
    <w:rsid w:val="002C6A05"/>
    <w:rsid w:val="002C7285"/>
    <w:rsid w:val="002C7362"/>
    <w:rsid w:val="002C737E"/>
    <w:rsid w:val="002C75D9"/>
    <w:rsid w:val="002C77AF"/>
    <w:rsid w:val="002D1801"/>
    <w:rsid w:val="002D3129"/>
    <w:rsid w:val="002D317B"/>
    <w:rsid w:val="002D6BF5"/>
    <w:rsid w:val="002D70F3"/>
    <w:rsid w:val="002E05CA"/>
    <w:rsid w:val="002E0F69"/>
    <w:rsid w:val="002E14DF"/>
    <w:rsid w:val="002E14E1"/>
    <w:rsid w:val="002E184D"/>
    <w:rsid w:val="002E1FAD"/>
    <w:rsid w:val="002E3F64"/>
    <w:rsid w:val="002E44D1"/>
    <w:rsid w:val="002E572E"/>
    <w:rsid w:val="002E60FE"/>
    <w:rsid w:val="002E7941"/>
    <w:rsid w:val="002F1D5F"/>
    <w:rsid w:val="002F35DC"/>
    <w:rsid w:val="002F41DC"/>
    <w:rsid w:val="002F56DD"/>
    <w:rsid w:val="002F5E6C"/>
    <w:rsid w:val="002F6CE5"/>
    <w:rsid w:val="002F7070"/>
    <w:rsid w:val="0030018C"/>
    <w:rsid w:val="00300D9E"/>
    <w:rsid w:val="0030201A"/>
    <w:rsid w:val="003026D3"/>
    <w:rsid w:val="00302C0A"/>
    <w:rsid w:val="00303724"/>
    <w:rsid w:val="003051CC"/>
    <w:rsid w:val="003058E7"/>
    <w:rsid w:val="00306B7E"/>
    <w:rsid w:val="003072F7"/>
    <w:rsid w:val="00307981"/>
    <w:rsid w:val="00307CF0"/>
    <w:rsid w:val="0031082B"/>
    <w:rsid w:val="00311D97"/>
    <w:rsid w:val="00312597"/>
    <w:rsid w:val="003127E8"/>
    <w:rsid w:val="003131BF"/>
    <w:rsid w:val="003139A4"/>
    <w:rsid w:val="003140E4"/>
    <w:rsid w:val="003141DF"/>
    <w:rsid w:val="00315CB0"/>
    <w:rsid w:val="00315F83"/>
    <w:rsid w:val="00316245"/>
    <w:rsid w:val="00316246"/>
    <w:rsid w:val="0031751C"/>
    <w:rsid w:val="003217B4"/>
    <w:rsid w:val="00321AA3"/>
    <w:rsid w:val="003221DC"/>
    <w:rsid w:val="00322704"/>
    <w:rsid w:val="0032449A"/>
    <w:rsid w:val="00326699"/>
    <w:rsid w:val="00326FFA"/>
    <w:rsid w:val="0033173E"/>
    <w:rsid w:val="00331B8E"/>
    <w:rsid w:val="0033207E"/>
    <w:rsid w:val="00333036"/>
    <w:rsid w:val="003331DA"/>
    <w:rsid w:val="003336E9"/>
    <w:rsid w:val="00333A9E"/>
    <w:rsid w:val="00334334"/>
    <w:rsid w:val="00335F89"/>
    <w:rsid w:val="003412ED"/>
    <w:rsid w:val="00341585"/>
    <w:rsid w:val="00341FD4"/>
    <w:rsid w:val="00342938"/>
    <w:rsid w:val="00343F24"/>
    <w:rsid w:val="00346577"/>
    <w:rsid w:val="003477DF"/>
    <w:rsid w:val="00350536"/>
    <w:rsid w:val="00350DC8"/>
    <w:rsid w:val="003526A6"/>
    <w:rsid w:val="00353781"/>
    <w:rsid w:val="00353D56"/>
    <w:rsid w:val="003554B8"/>
    <w:rsid w:val="00355575"/>
    <w:rsid w:val="003555BF"/>
    <w:rsid w:val="00356A83"/>
    <w:rsid w:val="00360B1C"/>
    <w:rsid w:val="0036223B"/>
    <w:rsid w:val="0036252A"/>
    <w:rsid w:val="003635FE"/>
    <w:rsid w:val="00363EB5"/>
    <w:rsid w:val="003646BF"/>
    <w:rsid w:val="00364D9D"/>
    <w:rsid w:val="00365C92"/>
    <w:rsid w:val="0036638D"/>
    <w:rsid w:val="003668AB"/>
    <w:rsid w:val="00366DC9"/>
    <w:rsid w:val="0036740F"/>
    <w:rsid w:val="00371603"/>
    <w:rsid w:val="003735B9"/>
    <w:rsid w:val="003737A8"/>
    <w:rsid w:val="0037461E"/>
    <w:rsid w:val="00374748"/>
    <w:rsid w:val="00382AE3"/>
    <w:rsid w:val="00383906"/>
    <w:rsid w:val="00383DA1"/>
    <w:rsid w:val="00387E90"/>
    <w:rsid w:val="003912B4"/>
    <w:rsid w:val="0039160C"/>
    <w:rsid w:val="00391CE2"/>
    <w:rsid w:val="00392007"/>
    <w:rsid w:val="00392B6C"/>
    <w:rsid w:val="00394F4E"/>
    <w:rsid w:val="0039660F"/>
    <w:rsid w:val="00396AAC"/>
    <w:rsid w:val="0039741E"/>
    <w:rsid w:val="0039744C"/>
    <w:rsid w:val="00397B3D"/>
    <w:rsid w:val="00397C46"/>
    <w:rsid w:val="003A06C8"/>
    <w:rsid w:val="003A0D7C"/>
    <w:rsid w:val="003A1E73"/>
    <w:rsid w:val="003A32D7"/>
    <w:rsid w:val="003A4948"/>
    <w:rsid w:val="003A65E8"/>
    <w:rsid w:val="003A667A"/>
    <w:rsid w:val="003A74F5"/>
    <w:rsid w:val="003A7A45"/>
    <w:rsid w:val="003A7AFA"/>
    <w:rsid w:val="003A7CA6"/>
    <w:rsid w:val="003B0AD1"/>
    <w:rsid w:val="003B1664"/>
    <w:rsid w:val="003B40BE"/>
    <w:rsid w:val="003B4CB4"/>
    <w:rsid w:val="003B518B"/>
    <w:rsid w:val="003B58E3"/>
    <w:rsid w:val="003B7612"/>
    <w:rsid w:val="003B7EE7"/>
    <w:rsid w:val="003C07BF"/>
    <w:rsid w:val="003C18C0"/>
    <w:rsid w:val="003C6ADC"/>
    <w:rsid w:val="003C71A4"/>
    <w:rsid w:val="003C7467"/>
    <w:rsid w:val="003D1F17"/>
    <w:rsid w:val="003D244F"/>
    <w:rsid w:val="003D2BB3"/>
    <w:rsid w:val="003D314C"/>
    <w:rsid w:val="003D39EC"/>
    <w:rsid w:val="003D3A8C"/>
    <w:rsid w:val="003D3E27"/>
    <w:rsid w:val="003D53B3"/>
    <w:rsid w:val="003D5452"/>
    <w:rsid w:val="003D606F"/>
    <w:rsid w:val="003D6943"/>
    <w:rsid w:val="003D76AB"/>
    <w:rsid w:val="003D78F6"/>
    <w:rsid w:val="003E0D8B"/>
    <w:rsid w:val="003E0DD1"/>
    <w:rsid w:val="003E1BC8"/>
    <w:rsid w:val="003E3DD5"/>
    <w:rsid w:val="003E3EFB"/>
    <w:rsid w:val="003E4704"/>
    <w:rsid w:val="003E4894"/>
    <w:rsid w:val="003E537A"/>
    <w:rsid w:val="003E55D6"/>
    <w:rsid w:val="003E6FCE"/>
    <w:rsid w:val="003E713E"/>
    <w:rsid w:val="003E7BF8"/>
    <w:rsid w:val="003E7ECF"/>
    <w:rsid w:val="003F0833"/>
    <w:rsid w:val="003F0B8C"/>
    <w:rsid w:val="003F1ECD"/>
    <w:rsid w:val="003F26FC"/>
    <w:rsid w:val="003F350F"/>
    <w:rsid w:val="003F353A"/>
    <w:rsid w:val="003F3868"/>
    <w:rsid w:val="003F44B7"/>
    <w:rsid w:val="003F70FC"/>
    <w:rsid w:val="003F71E4"/>
    <w:rsid w:val="003F75A0"/>
    <w:rsid w:val="00400F1C"/>
    <w:rsid w:val="0040306E"/>
    <w:rsid w:val="004030D8"/>
    <w:rsid w:val="00404369"/>
    <w:rsid w:val="00404B4E"/>
    <w:rsid w:val="00405BB4"/>
    <w:rsid w:val="00406AF7"/>
    <w:rsid w:val="004075F2"/>
    <w:rsid w:val="0041096B"/>
    <w:rsid w:val="00410DE8"/>
    <w:rsid w:val="00411100"/>
    <w:rsid w:val="004111DA"/>
    <w:rsid w:val="00413D48"/>
    <w:rsid w:val="00414945"/>
    <w:rsid w:val="00414ACD"/>
    <w:rsid w:val="004154E5"/>
    <w:rsid w:val="0041588D"/>
    <w:rsid w:val="004213B0"/>
    <w:rsid w:val="00422948"/>
    <w:rsid w:val="00422FEE"/>
    <w:rsid w:val="00424BA8"/>
    <w:rsid w:val="00425898"/>
    <w:rsid w:val="004308F4"/>
    <w:rsid w:val="00430CBE"/>
    <w:rsid w:val="004374FA"/>
    <w:rsid w:val="00441AC2"/>
    <w:rsid w:val="00442074"/>
    <w:rsid w:val="004425A0"/>
    <w:rsid w:val="00444592"/>
    <w:rsid w:val="00445C8D"/>
    <w:rsid w:val="00445FEE"/>
    <w:rsid w:val="0044678E"/>
    <w:rsid w:val="004469C1"/>
    <w:rsid w:val="00447773"/>
    <w:rsid w:val="00447E60"/>
    <w:rsid w:val="0045061E"/>
    <w:rsid w:val="004510AC"/>
    <w:rsid w:val="004520E4"/>
    <w:rsid w:val="004528F1"/>
    <w:rsid w:val="00452BCD"/>
    <w:rsid w:val="00453A1E"/>
    <w:rsid w:val="00454097"/>
    <w:rsid w:val="00454DA6"/>
    <w:rsid w:val="00454EC1"/>
    <w:rsid w:val="00456A79"/>
    <w:rsid w:val="00456B63"/>
    <w:rsid w:val="00456C9B"/>
    <w:rsid w:val="0046002C"/>
    <w:rsid w:val="00460E7F"/>
    <w:rsid w:val="00461AC3"/>
    <w:rsid w:val="0046218D"/>
    <w:rsid w:val="00463FDE"/>
    <w:rsid w:val="0046457D"/>
    <w:rsid w:val="00464835"/>
    <w:rsid w:val="004655AB"/>
    <w:rsid w:val="004659CD"/>
    <w:rsid w:val="00467D2E"/>
    <w:rsid w:val="00467D88"/>
    <w:rsid w:val="00470830"/>
    <w:rsid w:val="00471258"/>
    <w:rsid w:val="004726E9"/>
    <w:rsid w:val="00473B74"/>
    <w:rsid w:val="00476808"/>
    <w:rsid w:val="00476C91"/>
    <w:rsid w:val="00476CAA"/>
    <w:rsid w:val="00477CED"/>
    <w:rsid w:val="00477D8F"/>
    <w:rsid w:val="0048059C"/>
    <w:rsid w:val="0048181B"/>
    <w:rsid w:val="00483F0B"/>
    <w:rsid w:val="00484738"/>
    <w:rsid w:val="00484913"/>
    <w:rsid w:val="00486000"/>
    <w:rsid w:val="004867E2"/>
    <w:rsid w:val="00486BC5"/>
    <w:rsid w:val="00487527"/>
    <w:rsid w:val="00487A4B"/>
    <w:rsid w:val="00492610"/>
    <w:rsid w:val="00492A5E"/>
    <w:rsid w:val="004956ED"/>
    <w:rsid w:val="004A2EAD"/>
    <w:rsid w:val="004A5672"/>
    <w:rsid w:val="004A5F55"/>
    <w:rsid w:val="004A5F9A"/>
    <w:rsid w:val="004A7BAF"/>
    <w:rsid w:val="004A7D33"/>
    <w:rsid w:val="004B02EC"/>
    <w:rsid w:val="004B30C6"/>
    <w:rsid w:val="004B3BB8"/>
    <w:rsid w:val="004B5465"/>
    <w:rsid w:val="004B5628"/>
    <w:rsid w:val="004B68F5"/>
    <w:rsid w:val="004B7506"/>
    <w:rsid w:val="004C0099"/>
    <w:rsid w:val="004C1744"/>
    <w:rsid w:val="004C18CC"/>
    <w:rsid w:val="004C4242"/>
    <w:rsid w:val="004C6647"/>
    <w:rsid w:val="004C6886"/>
    <w:rsid w:val="004C7FE0"/>
    <w:rsid w:val="004D07B2"/>
    <w:rsid w:val="004D106D"/>
    <w:rsid w:val="004D1513"/>
    <w:rsid w:val="004D1C3B"/>
    <w:rsid w:val="004D2E94"/>
    <w:rsid w:val="004D372F"/>
    <w:rsid w:val="004D403F"/>
    <w:rsid w:val="004D4757"/>
    <w:rsid w:val="004D5643"/>
    <w:rsid w:val="004D6440"/>
    <w:rsid w:val="004E022E"/>
    <w:rsid w:val="004E13BE"/>
    <w:rsid w:val="004E271E"/>
    <w:rsid w:val="004E32F0"/>
    <w:rsid w:val="004E4EE9"/>
    <w:rsid w:val="004E5F5C"/>
    <w:rsid w:val="004E60C0"/>
    <w:rsid w:val="004E7715"/>
    <w:rsid w:val="004E7CE6"/>
    <w:rsid w:val="004F252B"/>
    <w:rsid w:val="004F3447"/>
    <w:rsid w:val="004F391C"/>
    <w:rsid w:val="004F3C83"/>
    <w:rsid w:val="004F3D2C"/>
    <w:rsid w:val="004F4285"/>
    <w:rsid w:val="004F5098"/>
    <w:rsid w:val="004F680B"/>
    <w:rsid w:val="004F6950"/>
    <w:rsid w:val="0050155D"/>
    <w:rsid w:val="00502043"/>
    <w:rsid w:val="005029CC"/>
    <w:rsid w:val="00502AF4"/>
    <w:rsid w:val="00504887"/>
    <w:rsid w:val="00504EC6"/>
    <w:rsid w:val="005059B4"/>
    <w:rsid w:val="00505E80"/>
    <w:rsid w:val="00506ECF"/>
    <w:rsid w:val="00507B8D"/>
    <w:rsid w:val="00507E08"/>
    <w:rsid w:val="00510129"/>
    <w:rsid w:val="0051048D"/>
    <w:rsid w:val="00510633"/>
    <w:rsid w:val="00512538"/>
    <w:rsid w:val="00512A53"/>
    <w:rsid w:val="00512D4D"/>
    <w:rsid w:val="00513024"/>
    <w:rsid w:val="00513860"/>
    <w:rsid w:val="00514729"/>
    <w:rsid w:val="005150FC"/>
    <w:rsid w:val="00515D99"/>
    <w:rsid w:val="00516022"/>
    <w:rsid w:val="005166D1"/>
    <w:rsid w:val="005205A2"/>
    <w:rsid w:val="00521CEE"/>
    <w:rsid w:val="005230F3"/>
    <w:rsid w:val="00523F8B"/>
    <w:rsid w:val="00524D65"/>
    <w:rsid w:val="00526E66"/>
    <w:rsid w:val="00526EC4"/>
    <w:rsid w:val="005300F2"/>
    <w:rsid w:val="00530233"/>
    <w:rsid w:val="00532172"/>
    <w:rsid w:val="00532596"/>
    <w:rsid w:val="00534880"/>
    <w:rsid w:val="0053789D"/>
    <w:rsid w:val="00537DB3"/>
    <w:rsid w:val="005415F2"/>
    <w:rsid w:val="00541C09"/>
    <w:rsid w:val="0054360E"/>
    <w:rsid w:val="00544552"/>
    <w:rsid w:val="005452CC"/>
    <w:rsid w:val="00546466"/>
    <w:rsid w:val="005466EF"/>
    <w:rsid w:val="005469CE"/>
    <w:rsid w:val="005469EE"/>
    <w:rsid w:val="00547109"/>
    <w:rsid w:val="005477C5"/>
    <w:rsid w:val="00547CB3"/>
    <w:rsid w:val="005505A1"/>
    <w:rsid w:val="005506A2"/>
    <w:rsid w:val="005530A7"/>
    <w:rsid w:val="005546E2"/>
    <w:rsid w:val="00554727"/>
    <w:rsid w:val="005553AD"/>
    <w:rsid w:val="005557A8"/>
    <w:rsid w:val="00555D2B"/>
    <w:rsid w:val="00556D2C"/>
    <w:rsid w:val="0055776D"/>
    <w:rsid w:val="00557E8C"/>
    <w:rsid w:val="005624A7"/>
    <w:rsid w:val="00562ED1"/>
    <w:rsid w:val="0056454C"/>
    <w:rsid w:val="00564D68"/>
    <w:rsid w:val="005652E2"/>
    <w:rsid w:val="00571F65"/>
    <w:rsid w:val="00572556"/>
    <w:rsid w:val="00573041"/>
    <w:rsid w:val="0057402A"/>
    <w:rsid w:val="00574444"/>
    <w:rsid w:val="005749A5"/>
    <w:rsid w:val="0057732A"/>
    <w:rsid w:val="00581294"/>
    <w:rsid w:val="00582942"/>
    <w:rsid w:val="00584568"/>
    <w:rsid w:val="00586441"/>
    <w:rsid w:val="005864B2"/>
    <w:rsid w:val="00587797"/>
    <w:rsid w:val="005903FB"/>
    <w:rsid w:val="00593255"/>
    <w:rsid w:val="005936CB"/>
    <w:rsid w:val="00593B69"/>
    <w:rsid w:val="0059409D"/>
    <w:rsid w:val="005943F9"/>
    <w:rsid w:val="00594BD4"/>
    <w:rsid w:val="0059530B"/>
    <w:rsid w:val="0059680A"/>
    <w:rsid w:val="005968D8"/>
    <w:rsid w:val="00597477"/>
    <w:rsid w:val="005A03A3"/>
    <w:rsid w:val="005A1D89"/>
    <w:rsid w:val="005A463A"/>
    <w:rsid w:val="005A6ADB"/>
    <w:rsid w:val="005A7896"/>
    <w:rsid w:val="005A79E3"/>
    <w:rsid w:val="005B0ADD"/>
    <w:rsid w:val="005B36E0"/>
    <w:rsid w:val="005B4F97"/>
    <w:rsid w:val="005B658D"/>
    <w:rsid w:val="005B6A16"/>
    <w:rsid w:val="005B77E3"/>
    <w:rsid w:val="005C164B"/>
    <w:rsid w:val="005C1A3A"/>
    <w:rsid w:val="005C1A98"/>
    <w:rsid w:val="005C22DD"/>
    <w:rsid w:val="005C2803"/>
    <w:rsid w:val="005C363C"/>
    <w:rsid w:val="005C3FE0"/>
    <w:rsid w:val="005C400C"/>
    <w:rsid w:val="005C4A83"/>
    <w:rsid w:val="005C7308"/>
    <w:rsid w:val="005C740C"/>
    <w:rsid w:val="005C79BA"/>
    <w:rsid w:val="005D0300"/>
    <w:rsid w:val="005D063A"/>
    <w:rsid w:val="005D1E27"/>
    <w:rsid w:val="005D3322"/>
    <w:rsid w:val="005D6886"/>
    <w:rsid w:val="005D7A34"/>
    <w:rsid w:val="005D7FC7"/>
    <w:rsid w:val="005E17A4"/>
    <w:rsid w:val="005E1D9F"/>
    <w:rsid w:val="005E25D4"/>
    <w:rsid w:val="005E3209"/>
    <w:rsid w:val="005E3E63"/>
    <w:rsid w:val="005E5907"/>
    <w:rsid w:val="005E5AF8"/>
    <w:rsid w:val="005E6236"/>
    <w:rsid w:val="005F0E31"/>
    <w:rsid w:val="005F187B"/>
    <w:rsid w:val="005F23DB"/>
    <w:rsid w:val="005F2F08"/>
    <w:rsid w:val="005F3C85"/>
    <w:rsid w:val="005F3FB6"/>
    <w:rsid w:val="005F431D"/>
    <w:rsid w:val="005F4E41"/>
    <w:rsid w:val="005F4FE7"/>
    <w:rsid w:val="005F55C9"/>
    <w:rsid w:val="0060008F"/>
    <w:rsid w:val="00600777"/>
    <w:rsid w:val="0060167A"/>
    <w:rsid w:val="00602145"/>
    <w:rsid w:val="00604859"/>
    <w:rsid w:val="006048F4"/>
    <w:rsid w:val="00604AEE"/>
    <w:rsid w:val="00604F46"/>
    <w:rsid w:val="006064E1"/>
    <w:rsid w:val="0060660A"/>
    <w:rsid w:val="0060706E"/>
    <w:rsid w:val="00610527"/>
    <w:rsid w:val="0061083A"/>
    <w:rsid w:val="00610AAA"/>
    <w:rsid w:val="00611C34"/>
    <w:rsid w:val="00611CB0"/>
    <w:rsid w:val="00612294"/>
    <w:rsid w:val="006123B1"/>
    <w:rsid w:val="0061298B"/>
    <w:rsid w:val="00613D07"/>
    <w:rsid w:val="006144B7"/>
    <w:rsid w:val="0061509D"/>
    <w:rsid w:val="006154C6"/>
    <w:rsid w:val="006157BA"/>
    <w:rsid w:val="00615DAA"/>
    <w:rsid w:val="00617313"/>
    <w:rsid w:val="00617A44"/>
    <w:rsid w:val="0062073A"/>
    <w:rsid w:val="00621767"/>
    <w:rsid w:val="00621828"/>
    <w:rsid w:val="006230E0"/>
    <w:rsid w:val="00625CD0"/>
    <w:rsid w:val="00625EB1"/>
    <w:rsid w:val="006271BD"/>
    <w:rsid w:val="006316B8"/>
    <w:rsid w:val="00631889"/>
    <w:rsid w:val="006325B2"/>
    <w:rsid w:val="00632896"/>
    <w:rsid w:val="006329A1"/>
    <w:rsid w:val="00633D2B"/>
    <w:rsid w:val="00634A3C"/>
    <w:rsid w:val="00635DE3"/>
    <w:rsid w:val="00636AFD"/>
    <w:rsid w:val="006375B8"/>
    <w:rsid w:val="00645EC4"/>
    <w:rsid w:val="006469F6"/>
    <w:rsid w:val="00646A07"/>
    <w:rsid w:val="00646E47"/>
    <w:rsid w:val="00651441"/>
    <w:rsid w:val="00651DC0"/>
    <w:rsid w:val="006522A0"/>
    <w:rsid w:val="0065281C"/>
    <w:rsid w:val="006565D2"/>
    <w:rsid w:val="006569DB"/>
    <w:rsid w:val="00656C96"/>
    <w:rsid w:val="00657247"/>
    <w:rsid w:val="00660863"/>
    <w:rsid w:val="00660C2B"/>
    <w:rsid w:val="006614C4"/>
    <w:rsid w:val="00661591"/>
    <w:rsid w:val="006617D9"/>
    <w:rsid w:val="00662125"/>
    <w:rsid w:val="00663E9A"/>
    <w:rsid w:val="006652C3"/>
    <w:rsid w:val="006659C8"/>
    <w:rsid w:val="0066628A"/>
    <w:rsid w:val="0066632F"/>
    <w:rsid w:val="006665E1"/>
    <w:rsid w:val="00667BAB"/>
    <w:rsid w:val="0067057E"/>
    <w:rsid w:val="00670DD3"/>
    <w:rsid w:val="006711DA"/>
    <w:rsid w:val="006726E7"/>
    <w:rsid w:val="0067329B"/>
    <w:rsid w:val="0067384A"/>
    <w:rsid w:val="00674C14"/>
    <w:rsid w:val="00680852"/>
    <w:rsid w:val="0068182A"/>
    <w:rsid w:val="00681B2D"/>
    <w:rsid w:val="00687998"/>
    <w:rsid w:val="00687A2F"/>
    <w:rsid w:val="0069047B"/>
    <w:rsid w:val="00690DCA"/>
    <w:rsid w:val="00691046"/>
    <w:rsid w:val="006913CE"/>
    <w:rsid w:val="00692E7B"/>
    <w:rsid w:val="0069317D"/>
    <w:rsid w:val="006956A1"/>
    <w:rsid w:val="0069702B"/>
    <w:rsid w:val="006A22DA"/>
    <w:rsid w:val="006A3362"/>
    <w:rsid w:val="006A3AEB"/>
    <w:rsid w:val="006A4DB5"/>
    <w:rsid w:val="006A52D6"/>
    <w:rsid w:val="006A670C"/>
    <w:rsid w:val="006A6FA2"/>
    <w:rsid w:val="006A73B3"/>
    <w:rsid w:val="006A78DD"/>
    <w:rsid w:val="006B021E"/>
    <w:rsid w:val="006B03AF"/>
    <w:rsid w:val="006B0C77"/>
    <w:rsid w:val="006B0D67"/>
    <w:rsid w:val="006B1884"/>
    <w:rsid w:val="006B2292"/>
    <w:rsid w:val="006B329D"/>
    <w:rsid w:val="006B3A5E"/>
    <w:rsid w:val="006B4047"/>
    <w:rsid w:val="006B6D3B"/>
    <w:rsid w:val="006C114E"/>
    <w:rsid w:val="006C1EB0"/>
    <w:rsid w:val="006C2535"/>
    <w:rsid w:val="006C3A41"/>
    <w:rsid w:val="006C5083"/>
    <w:rsid w:val="006C5413"/>
    <w:rsid w:val="006C65A1"/>
    <w:rsid w:val="006C661B"/>
    <w:rsid w:val="006C6C62"/>
    <w:rsid w:val="006C7CA9"/>
    <w:rsid w:val="006D094E"/>
    <w:rsid w:val="006D0D14"/>
    <w:rsid w:val="006D3256"/>
    <w:rsid w:val="006D4B0D"/>
    <w:rsid w:val="006D4B1E"/>
    <w:rsid w:val="006D5DC2"/>
    <w:rsid w:val="006D60B4"/>
    <w:rsid w:val="006D75E1"/>
    <w:rsid w:val="006D7F64"/>
    <w:rsid w:val="006E1680"/>
    <w:rsid w:val="006E263E"/>
    <w:rsid w:val="006E3546"/>
    <w:rsid w:val="006E365A"/>
    <w:rsid w:val="006E38C3"/>
    <w:rsid w:val="006E4D97"/>
    <w:rsid w:val="006E607A"/>
    <w:rsid w:val="006E60A2"/>
    <w:rsid w:val="006E7216"/>
    <w:rsid w:val="006F0F93"/>
    <w:rsid w:val="006F17B6"/>
    <w:rsid w:val="006F2BD0"/>
    <w:rsid w:val="006F35FA"/>
    <w:rsid w:val="006F3789"/>
    <w:rsid w:val="006F712A"/>
    <w:rsid w:val="006F761D"/>
    <w:rsid w:val="007001F6"/>
    <w:rsid w:val="00703AEF"/>
    <w:rsid w:val="007044D6"/>
    <w:rsid w:val="00704CCA"/>
    <w:rsid w:val="0070543F"/>
    <w:rsid w:val="00705BC0"/>
    <w:rsid w:val="00705C87"/>
    <w:rsid w:val="00707E10"/>
    <w:rsid w:val="00707EA6"/>
    <w:rsid w:val="00710978"/>
    <w:rsid w:val="00712D6F"/>
    <w:rsid w:val="00713044"/>
    <w:rsid w:val="00713CEA"/>
    <w:rsid w:val="00713F74"/>
    <w:rsid w:val="007146F0"/>
    <w:rsid w:val="00714C30"/>
    <w:rsid w:val="00715237"/>
    <w:rsid w:val="00715F39"/>
    <w:rsid w:val="00716F76"/>
    <w:rsid w:val="00720573"/>
    <w:rsid w:val="0072120E"/>
    <w:rsid w:val="00722293"/>
    <w:rsid w:val="00722F4B"/>
    <w:rsid w:val="007230FA"/>
    <w:rsid w:val="00724101"/>
    <w:rsid w:val="007250F0"/>
    <w:rsid w:val="007254A5"/>
    <w:rsid w:val="00725748"/>
    <w:rsid w:val="00730D14"/>
    <w:rsid w:val="00734374"/>
    <w:rsid w:val="00735496"/>
    <w:rsid w:val="00736D0D"/>
    <w:rsid w:val="0073720D"/>
    <w:rsid w:val="007402E0"/>
    <w:rsid w:val="007418AE"/>
    <w:rsid w:val="007421A6"/>
    <w:rsid w:val="007426B0"/>
    <w:rsid w:val="00742AB9"/>
    <w:rsid w:val="00743337"/>
    <w:rsid w:val="00745016"/>
    <w:rsid w:val="00746658"/>
    <w:rsid w:val="00750A91"/>
    <w:rsid w:val="00751CF9"/>
    <w:rsid w:val="0075240B"/>
    <w:rsid w:val="0075368B"/>
    <w:rsid w:val="00754176"/>
    <w:rsid w:val="00754666"/>
    <w:rsid w:val="007546C2"/>
    <w:rsid w:val="00754FBF"/>
    <w:rsid w:val="00755248"/>
    <w:rsid w:val="00755F4C"/>
    <w:rsid w:val="00756754"/>
    <w:rsid w:val="00757005"/>
    <w:rsid w:val="0075758B"/>
    <w:rsid w:val="0076016D"/>
    <w:rsid w:val="007606CE"/>
    <w:rsid w:val="00760C95"/>
    <w:rsid w:val="00763BB2"/>
    <w:rsid w:val="00764CDA"/>
    <w:rsid w:val="00766F7A"/>
    <w:rsid w:val="0077029E"/>
    <w:rsid w:val="0077048E"/>
    <w:rsid w:val="00770864"/>
    <w:rsid w:val="007724AB"/>
    <w:rsid w:val="00772734"/>
    <w:rsid w:val="007742D6"/>
    <w:rsid w:val="00774B22"/>
    <w:rsid w:val="00775344"/>
    <w:rsid w:val="00775D8A"/>
    <w:rsid w:val="0077737C"/>
    <w:rsid w:val="007777DF"/>
    <w:rsid w:val="00781B9B"/>
    <w:rsid w:val="00781BE3"/>
    <w:rsid w:val="00781CED"/>
    <w:rsid w:val="00781F27"/>
    <w:rsid w:val="0078200B"/>
    <w:rsid w:val="007831C7"/>
    <w:rsid w:val="00783559"/>
    <w:rsid w:val="00783B2B"/>
    <w:rsid w:val="00784329"/>
    <w:rsid w:val="00784448"/>
    <w:rsid w:val="0078554C"/>
    <w:rsid w:val="00785F18"/>
    <w:rsid w:val="0078616F"/>
    <w:rsid w:val="00786645"/>
    <w:rsid w:val="00786698"/>
    <w:rsid w:val="0079029D"/>
    <w:rsid w:val="00792AB2"/>
    <w:rsid w:val="00793E70"/>
    <w:rsid w:val="00794A5D"/>
    <w:rsid w:val="00795099"/>
    <w:rsid w:val="00795F34"/>
    <w:rsid w:val="00796C40"/>
    <w:rsid w:val="00796CC1"/>
    <w:rsid w:val="007A0135"/>
    <w:rsid w:val="007A3BEE"/>
    <w:rsid w:val="007A4105"/>
    <w:rsid w:val="007A474C"/>
    <w:rsid w:val="007A4E1B"/>
    <w:rsid w:val="007B0280"/>
    <w:rsid w:val="007B163C"/>
    <w:rsid w:val="007B16C0"/>
    <w:rsid w:val="007B2BC2"/>
    <w:rsid w:val="007B54BC"/>
    <w:rsid w:val="007B5E54"/>
    <w:rsid w:val="007B6E9D"/>
    <w:rsid w:val="007C0CE8"/>
    <w:rsid w:val="007C1988"/>
    <w:rsid w:val="007C406E"/>
    <w:rsid w:val="007C66A9"/>
    <w:rsid w:val="007C7F09"/>
    <w:rsid w:val="007D08AB"/>
    <w:rsid w:val="007D0AC3"/>
    <w:rsid w:val="007D11D7"/>
    <w:rsid w:val="007D1362"/>
    <w:rsid w:val="007D25B4"/>
    <w:rsid w:val="007D2620"/>
    <w:rsid w:val="007D2C22"/>
    <w:rsid w:val="007D3044"/>
    <w:rsid w:val="007D5658"/>
    <w:rsid w:val="007D6565"/>
    <w:rsid w:val="007D6B76"/>
    <w:rsid w:val="007E0C16"/>
    <w:rsid w:val="007E1149"/>
    <w:rsid w:val="007E2C0D"/>
    <w:rsid w:val="007E33F7"/>
    <w:rsid w:val="007E435C"/>
    <w:rsid w:val="007E5675"/>
    <w:rsid w:val="007E6BE6"/>
    <w:rsid w:val="007E7499"/>
    <w:rsid w:val="007F008F"/>
    <w:rsid w:val="007F03F4"/>
    <w:rsid w:val="007F0D39"/>
    <w:rsid w:val="007F100C"/>
    <w:rsid w:val="007F1982"/>
    <w:rsid w:val="007F428E"/>
    <w:rsid w:val="007F4649"/>
    <w:rsid w:val="007F5843"/>
    <w:rsid w:val="007F74ED"/>
    <w:rsid w:val="0080096E"/>
    <w:rsid w:val="008050E6"/>
    <w:rsid w:val="00806B95"/>
    <w:rsid w:val="00807805"/>
    <w:rsid w:val="00810A58"/>
    <w:rsid w:val="00810CFA"/>
    <w:rsid w:val="00811392"/>
    <w:rsid w:val="00812028"/>
    <w:rsid w:val="00814D03"/>
    <w:rsid w:val="0081537D"/>
    <w:rsid w:val="008158B0"/>
    <w:rsid w:val="00816074"/>
    <w:rsid w:val="00816738"/>
    <w:rsid w:val="00820F4D"/>
    <w:rsid w:val="00824629"/>
    <w:rsid w:val="008256DC"/>
    <w:rsid w:val="00825E3D"/>
    <w:rsid w:val="00826F41"/>
    <w:rsid w:val="0083069E"/>
    <w:rsid w:val="0083178B"/>
    <w:rsid w:val="00833695"/>
    <w:rsid w:val="00833880"/>
    <w:rsid w:val="00834F99"/>
    <w:rsid w:val="00836056"/>
    <w:rsid w:val="008364EF"/>
    <w:rsid w:val="0083788B"/>
    <w:rsid w:val="00837C66"/>
    <w:rsid w:val="008407B5"/>
    <w:rsid w:val="008409AE"/>
    <w:rsid w:val="00842A21"/>
    <w:rsid w:val="00842CD8"/>
    <w:rsid w:val="008435CC"/>
    <w:rsid w:val="00846579"/>
    <w:rsid w:val="00850D4B"/>
    <w:rsid w:val="008517DE"/>
    <w:rsid w:val="00851BC3"/>
    <w:rsid w:val="00851CB8"/>
    <w:rsid w:val="008520D8"/>
    <w:rsid w:val="008525B2"/>
    <w:rsid w:val="008530B2"/>
    <w:rsid w:val="008553C7"/>
    <w:rsid w:val="00857770"/>
    <w:rsid w:val="00857FEB"/>
    <w:rsid w:val="00860B95"/>
    <w:rsid w:val="008616E0"/>
    <w:rsid w:val="00862050"/>
    <w:rsid w:val="008624AD"/>
    <w:rsid w:val="008624F0"/>
    <w:rsid w:val="00862C7E"/>
    <w:rsid w:val="008635BB"/>
    <w:rsid w:val="008646B0"/>
    <w:rsid w:val="00864B45"/>
    <w:rsid w:val="008666D2"/>
    <w:rsid w:val="00871A5D"/>
    <w:rsid w:val="00871B05"/>
    <w:rsid w:val="00872006"/>
    <w:rsid w:val="008720EB"/>
    <w:rsid w:val="00873189"/>
    <w:rsid w:val="008735BA"/>
    <w:rsid w:val="00873AF9"/>
    <w:rsid w:val="00873E5C"/>
    <w:rsid w:val="008753FC"/>
    <w:rsid w:val="008777AA"/>
    <w:rsid w:val="008802A6"/>
    <w:rsid w:val="008808F1"/>
    <w:rsid w:val="00880A18"/>
    <w:rsid w:val="008812FB"/>
    <w:rsid w:val="00882814"/>
    <w:rsid w:val="0088555E"/>
    <w:rsid w:val="00886820"/>
    <w:rsid w:val="00886E97"/>
    <w:rsid w:val="00891692"/>
    <w:rsid w:val="00892002"/>
    <w:rsid w:val="00892601"/>
    <w:rsid w:val="008934AE"/>
    <w:rsid w:val="008934E6"/>
    <w:rsid w:val="00893E43"/>
    <w:rsid w:val="00895376"/>
    <w:rsid w:val="00896BC5"/>
    <w:rsid w:val="008A3B6D"/>
    <w:rsid w:val="008A46A9"/>
    <w:rsid w:val="008A5A3F"/>
    <w:rsid w:val="008A6169"/>
    <w:rsid w:val="008A62F1"/>
    <w:rsid w:val="008A646F"/>
    <w:rsid w:val="008A702B"/>
    <w:rsid w:val="008A7174"/>
    <w:rsid w:val="008B1BE5"/>
    <w:rsid w:val="008B2077"/>
    <w:rsid w:val="008B2AF9"/>
    <w:rsid w:val="008B378C"/>
    <w:rsid w:val="008B3929"/>
    <w:rsid w:val="008B3C2F"/>
    <w:rsid w:val="008B403B"/>
    <w:rsid w:val="008B4118"/>
    <w:rsid w:val="008B4208"/>
    <w:rsid w:val="008B43F7"/>
    <w:rsid w:val="008B45D6"/>
    <w:rsid w:val="008B4CB3"/>
    <w:rsid w:val="008B54B2"/>
    <w:rsid w:val="008B720C"/>
    <w:rsid w:val="008B731A"/>
    <w:rsid w:val="008C2425"/>
    <w:rsid w:val="008C2444"/>
    <w:rsid w:val="008C2ADA"/>
    <w:rsid w:val="008C31C6"/>
    <w:rsid w:val="008C3F57"/>
    <w:rsid w:val="008C46FD"/>
    <w:rsid w:val="008C526D"/>
    <w:rsid w:val="008C5B1C"/>
    <w:rsid w:val="008C67AF"/>
    <w:rsid w:val="008C78FD"/>
    <w:rsid w:val="008C7A36"/>
    <w:rsid w:val="008C7D5D"/>
    <w:rsid w:val="008D0938"/>
    <w:rsid w:val="008D0DFA"/>
    <w:rsid w:val="008D0EBE"/>
    <w:rsid w:val="008D2355"/>
    <w:rsid w:val="008D2FA9"/>
    <w:rsid w:val="008D31CB"/>
    <w:rsid w:val="008D3CEA"/>
    <w:rsid w:val="008D47B9"/>
    <w:rsid w:val="008D5B01"/>
    <w:rsid w:val="008D79D9"/>
    <w:rsid w:val="008E22BC"/>
    <w:rsid w:val="008E29B4"/>
    <w:rsid w:val="008E35E2"/>
    <w:rsid w:val="008E3962"/>
    <w:rsid w:val="008E5F59"/>
    <w:rsid w:val="008E620A"/>
    <w:rsid w:val="008E7AC3"/>
    <w:rsid w:val="008F0C84"/>
    <w:rsid w:val="008F1B70"/>
    <w:rsid w:val="008F2143"/>
    <w:rsid w:val="008F4612"/>
    <w:rsid w:val="008F4A8D"/>
    <w:rsid w:val="00900C34"/>
    <w:rsid w:val="00901121"/>
    <w:rsid w:val="00901DEF"/>
    <w:rsid w:val="00902FF2"/>
    <w:rsid w:val="00903B67"/>
    <w:rsid w:val="00905B6D"/>
    <w:rsid w:val="0090647C"/>
    <w:rsid w:val="0090651A"/>
    <w:rsid w:val="0091000A"/>
    <w:rsid w:val="00910642"/>
    <w:rsid w:val="009160BB"/>
    <w:rsid w:val="009166AD"/>
    <w:rsid w:val="00917192"/>
    <w:rsid w:val="00917821"/>
    <w:rsid w:val="0091795B"/>
    <w:rsid w:val="00917992"/>
    <w:rsid w:val="00917BAC"/>
    <w:rsid w:val="00920A27"/>
    <w:rsid w:val="00920BA6"/>
    <w:rsid w:val="00921A22"/>
    <w:rsid w:val="00927293"/>
    <w:rsid w:val="009311C8"/>
    <w:rsid w:val="00933376"/>
    <w:rsid w:val="009336FC"/>
    <w:rsid w:val="00937CE6"/>
    <w:rsid w:val="00940C5F"/>
    <w:rsid w:val="00942355"/>
    <w:rsid w:val="00943F25"/>
    <w:rsid w:val="00944F01"/>
    <w:rsid w:val="009454A6"/>
    <w:rsid w:val="00945691"/>
    <w:rsid w:val="00946D29"/>
    <w:rsid w:val="00946EF9"/>
    <w:rsid w:val="0095050D"/>
    <w:rsid w:val="009513C2"/>
    <w:rsid w:val="0095259F"/>
    <w:rsid w:val="009534EF"/>
    <w:rsid w:val="0095352B"/>
    <w:rsid w:val="00955A7F"/>
    <w:rsid w:val="00956517"/>
    <w:rsid w:val="0095748C"/>
    <w:rsid w:val="00957507"/>
    <w:rsid w:val="0096077C"/>
    <w:rsid w:val="0096143B"/>
    <w:rsid w:val="00961C28"/>
    <w:rsid w:val="00961EC6"/>
    <w:rsid w:val="00961FA7"/>
    <w:rsid w:val="009627A5"/>
    <w:rsid w:val="00962C56"/>
    <w:rsid w:val="009646B4"/>
    <w:rsid w:val="00964BBF"/>
    <w:rsid w:val="00964F30"/>
    <w:rsid w:val="00965FD5"/>
    <w:rsid w:val="009668DE"/>
    <w:rsid w:val="00967346"/>
    <w:rsid w:val="009708CE"/>
    <w:rsid w:val="009711D9"/>
    <w:rsid w:val="009718F9"/>
    <w:rsid w:val="009719D5"/>
    <w:rsid w:val="00975112"/>
    <w:rsid w:val="00975202"/>
    <w:rsid w:val="009753D7"/>
    <w:rsid w:val="00977002"/>
    <w:rsid w:val="0097729D"/>
    <w:rsid w:val="009774C4"/>
    <w:rsid w:val="009811DF"/>
    <w:rsid w:val="00982B90"/>
    <w:rsid w:val="00982DE5"/>
    <w:rsid w:val="00982E82"/>
    <w:rsid w:val="00983333"/>
    <w:rsid w:val="00983A7C"/>
    <w:rsid w:val="00984A34"/>
    <w:rsid w:val="00984D7B"/>
    <w:rsid w:val="00991B5F"/>
    <w:rsid w:val="00991C2E"/>
    <w:rsid w:val="00992969"/>
    <w:rsid w:val="009952AD"/>
    <w:rsid w:val="00997999"/>
    <w:rsid w:val="009A0AE0"/>
    <w:rsid w:val="009A0FF6"/>
    <w:rsid w:val="009A15FA"/>
    <w:rsid w:val="009A342B"/>
    <w:rsid w:val="009A3B71"/>
    <w:rsid w:val="009A3CA0"/>
    <w:rsid w:val="009A513F"/>
    <w:rsid w:val="009A542C"/>
    <w:rsid w:val="009A54EE"/>
    <w:rsid w:val="009A61BC"/>
    <w:rsid w:val="009A6527"/>
    <w:rsid w:val="009A676D"/>
    <w:rsid w:val="009A727A"/>
    <w:rsid w:val="009B1466"/>
    <w:rsid w:val="009B2203"/>
    <w:rsid w:val="009B23D3"/>
    <w:rsid w:val="009B24B7"/>
    <w:rsid w:val="009B41E7"/>
    <w:rsid w:val="009B424D"/>
    <w:rsid w:val="009B55C6"/>
    <w:rsid w:val="009B57FB"/>
    <w:rsid w:val="009B7709"/>
    <w:rsid w:val="009C1AC6"/>
    <w:rsid w:val="009C1C75"/>
    <w:rsid w:val="009C37AE"/>
    <w:rsid w:val="009C3B6E"/>
    <w:rsid w:val="009C404F"/>
    <w:rsid w:val="009C42BC"/>
    <w:rsid w:val="009C4AAC"/>
    <w:rsid w:val="009C4F04"/>
    <w:rsid w:val="009C692B"/>
    <w:rsid w:val="009D18EC"/>
    <w:rsid w:val="009D277F"/>
    <w:rsid w:val="009D7120"/>
    <w:rsid w:val="009D7DFA"/>
    <w:rsid w:val="009E042D"/>
    <w:rsid w:val="009E0630"/>
    <w:rsid w:val="009E075C"/>
    <w:rsid w:val="009E1B8B"/>
    <w:rsid w:val="009E2147"/>
    <w:rsid w:val="009E37E6"/>
    <w:rsid w:val="009E416C"/>
    <w:rsid w:val="009E584D"/>
    <w:rsid w:val="009E6427"/>
    <w:rsid w:val="009E71C1"/>
    <w:rsid w:val="009E7824"/>
    <w:rsid w:val="009F0D1C"/>
    <w:rsid w:val="009F1B71"/>
    <w:rsid w:val="009F3851"/>
    <w:rsid w:val="009F4AEF"/>
    <w:rsid w:val="009F61F0"/>
    <w:rsid w:val="00A01C1A"/>
    <w:rsid w:val="00A02980"/>
    <w:rsid w:val="00A04081"/>
    <w:rsid w:val="00A043B4"/>
    <w:rsid w:val="00A04DC0"/>
    <w:rsid w:val="00A06827"/>
    <w:rsid w:val="00A07737"/>
    <w:rsid w:val="00A07D00"/>
    <w:rsid w:val="00A10614"/>
    <w:rsid w:val="00A10E98"/>
    <w:rsid w:val="00A11768"/>
    <w:rsid w:val="00A12458"/>
    <w:rsid w:val="00A1348F"/>
    <w:rsid w:val="00A13499"/>
    <w:rsid w:val="00A140D0"/>
    <w:rsid w:val="00A149C1"/>
    <w:rsid w:val="00A14A93"/>
    <w:rsid w:val="00A14D52"/>
    <w:rsid w:val="00A14EF1"/>
    <w:rsid w:val="00A167EA"/>
    <w:rsid w:val="00A2172A"/>
    <w:rsid w:val="00A2182A"/>
    <w:rsid w:val="00A21A93"/>
    <w:rsid w:val="00A21B3B"/>
    <w:rsid w:val="00A2455B"/>
    <w:rsid w:val="00A245B7"/>
    <w:rsid w:val="00A245E4"/>
    <w:rsid w:val="00A25B4A"/>
    <w:rsid w:val="00A27328"/>
    <w:rsid w:val="00A277F9"/>
    <w:rsid w:val="00A30423"/>
    <w:rsid w:val="00A30E68"/>
    <w:rsid w:val="00A31885"/>
    <w:rsid w:val="00A32F77"/>
    <w:rsid w:val="00A33725"/>
    <w:rsid w:val="00A33763"/>
    <w:rsid w:val="00A34AA0"/>
    <w:rsid w:val="00A3599F"/>
    <w:rsid w:val="00A35B30"/>
    <w:rsid w:val="00A35BEC"/>
    <w:rsid w:val="00A36DE0"/>
    <w:rsid w:val="00A373C4"/>
    <w:rsid w:val="00A37B8E"/>
    <w:rsid w:val="00A41EFC"/>
    <w:rsid w:val="00A4371E"/>
    <w:rsid w:val="00A4390D"/>
    <w:rsid w:val="00A476A8"/>
    <w:rsid w:val="00A47733"/>
    <w:rsid w:val="00A511CD"/>
    <w:rsid w:val="00A53194"/>
    <w:rsid w:val="00A53278"/>
    <w:rsid w:val="00A53B23"/>
    <w:rsid w:val="00A551E6"/>
    <w:rsid w:val="00A55AA2"/>
    <w:rsid w:val="00A56946"/>
    <w:rsid w:val="00A578D8"/>
    <w:rsid w:val="00A60E92"/>
    <w:rsid w:val="00A61329"/>
    <w:rsid w:val="00A61759"/>
    <w:rsid w:val="00A62661"/>
    <w:rsid w:val="00A62E0A"/>
    <w:rsid w:val="00A63889"/>
    <w:rsid w:val="00A6421B"/>
    <w:rsid w:val="00A64A23"/>
    <w:rsid w:val="00A65CA7"/>
    <w:rsid w:val="00A65FF9"/>
    <w:rsid w:val="00A66CB1"/>
    <w:rsid w:val="00A70E0E"/>
    <w:rsid w:val="00A70E93"/>
    <w:rsid w:val="00A71A15"/>
    <w:rsid w:val="00A72D2D"/>
    <w:rsid w:val="00A72E16"/>
    <w:rsid w:val="00A74DEC"/>
    <w:rsid w:val="00A76D10"/>
    <w:rsid w:val="00A76DC7"/>
    <w:rsid w:val="00A7796D"/>
    <w:rsid w:val="00A77D7A"/>
    <w:rsid w:val="00A803FB"/>
    <w:rsid w:val="00A828D3"/>
    <w:rsid w:val="00A84B60"/>
    <w:rsid w:val="00A84E68"/>
    <w:rsid w:val="00A84F62"/>
    <w:rsid w:val="00A8630D"/>
    <w:rsid w:val="00A87B6C"/>
    <w:rsid w:val="00A908F9"/>
    <w:rsid w:val="00A91357"/>
    <w:rsid w:val="00A91B1B"/>
    <w:rsid w:val="00A91BC8"/>
    <w:rsid w:val="00A9351D"/>
    <w:rsid w:val="00A94A09"/>
    <w:rsid w:val="00A967EE"/>
    <w:rsid w:val="00AA3904"/>
    <w:rsid w:val="00AA3CB7"/>
    <w:rsid w:val="00AA4277"/>
    <w:rsid w:val="00AA4C2B"/>
    <w:rsid w:val="00AA4D58"/>
    <w:rsid w:val="00AA5B94"/>
    <w:rsid w:val="00AA6265"/>
    <w:rsid w:val="00AA719B"/>
    <w:rsid w:val="00AB395F"/>
    <w:rsid w:val="00AB3C76"/>
    <w:rsid w:val="00AB40AA"/>
    <w:rsid w:val="00AB4880"/>
    <w:rsid w:val="00AB5963"/>
    <w:rsid w:val="00AB762B"/>
    <w:rsid w:val="00AB78E0"/>
    <w:rsid w:val="00AB7C78"/>
    <w:rsid w:val="00AC0810"/>
    <w:rsid w:val="00AC0B3D"/>
    <w:rsid w:val="00AC1ED1"/>
    <w:rsid w:val="00AC211D"/>
    <w:rsid w:val="00AC220F"/>
    <w:rsid w:val="00AC276A"/>
    <w:rsid w:val="00AC3701"/>
    <w:rsid w:val="00AC443E"/>
    <w:rsid w:val="00AC49D8"/>
    <w:rsid w:val="00AC5059"/>
    <w:rsid w:val="00AC523C"/>
    <w:rsid w:val="00AC567F"/>
    <w:rsid w:val="00AD0CCB"/>
    <w:rsid w:val="00AD0D21"/>
    <w:rsid w:val="00AD24CE"/>
    <w:rsid w:val="00AD2700"/>
    <w:rsid w:val="00AD279E"/>
    <w:rsid w:val="00AD2B89"/>
    <w:rsid w:val="00AD3A3C"/>
    <w:rsid w:val="00AD5C2E"/>
    <w:rsid w:val="00AE11B7"/>
    <w:rsid w:val="00AE1D85"/>
    <w:rsid w:val="00AE47B4"/>
    <w:rsid w:val="00AE4E07"/>
    <w:rsid w:val="00AE5094"/>
    <w:rsid w:val="00AE5230"/>
    <w:rsid w:val="00AE5901"/>
    <w:rsid w:val="00AE6CA2"/>
    <w:rsid w:val="00AE77B6"/>
    <w:rsid w:val="00AF0612"/>
    <w:rsid w:val="00AF0888"/>
    <w:rsid w:val="00AF2170"/>
    <w:rsid w:val="00AF2F4F"/>
    <w:rsid w:val="00AF36B0"/>
    <w:rsid w:val="00AF612D"/>
    <w:rsid w:val="00AF6CAF"/>
    <w:rsid w:val="00AF7691"/>
    <w:rsid w:val="00AF7F47"/>
    <w:rsid w:val="00B00A55"/>
    <w:rsid w:val="00B00F22"/>
    <w:rsid w:val="00B012CE"/>
    <w:rsid w:val="00B06444"/>
    <w:rsid w:val="00B0686B"/>
    <w:rsid w:val="00B06C4D"/>
    <w:rsid w:val="00B06CE6"/>
    <w:rsid w:val="00B06D4B"/>
    <w:rsid w:val="00B0752D"/>
    <w:rsid w:val="00B10F21"/>
    <w:rsid w:val="00B1151F"/>
    <w:rsid w:val="00B11F51"/>
    <w:rsid w:val="00B201ED"/>
    <w:rsid w:val="00B214B2"/>
    <w:rsid w:val="00B21ADE"/>
    <w:rsid w:val="00B229E9"/>
    <w:rsid w:val="00B24584"/>
    <w:rsid w:val="00B24C4A"/>
    <w:rsid w:val="00B25CD9"/>
    <w:rsid w:val="00B26CCF"/>
    <w:rsid w:val="00B273FE"/>
    <w:rsid w:val="00B30004"/>
    <w:rsid w:val="00B30353"/>
    <w:rsid w:val="00B3063D"/>
    <w:rsid w:val="00B31186"/>
    <w:rsid w:val="00B316B9"/>
    <w:rsid w:val="00B322C1"/>
    <w:rsid w:val="00B323D0"/>
    <w:rsid w:val="00B32C96"/>
    <w:rsid w:val="00B32D17"/>
    <w:rsid w:val="00B34C1E"/>
    <w:rsid w:val="00B35331"/>
    <w:rsid w:val="00B36546"/>
    <w:rsid w:val="00B408AD"/>
    <w:rsid w:val="00B424BA"/>
    <w:rsid w:val="00B464BB"/>
    <w:rsid w:val="00B47EA8"/>
    <w:rsid w:val="00B51544"/>
    <w:rsid w:val="00B52E2F"/>
    <w:rsid w:val="00B531DD"/>
    <w:rsid w:val="00B543BB"/>
    <w:rsid w:val="00B54564"/>
    <w:rsid w:val="00B55390"/>
    <w:rsid w:val="00B56A07"/>
    <w:rsid w:val="00B56D45"/>
    <w:rsid w:val="00B572E8"/>
    <w:rsid w:val="00B603B4"/>
    <w:rsid w:val="00B60860"/>
    <w:rsid w:val="00B61A7E"/>
    <w:rsid w:val="00B63309"/>
    <w:rsid w:val="00B645D2"/>
    <w:rsid w:val="00B67E6B"/>
    <w:rsid w:val="00B717B0"/>
    <w:rsid w:val="00B71DC2"/>
    <w:rsid w:val="00B73546"/>
    <w:rsid w:val="00B74DD5"/>
    <w:rsid w:val="00B74F88"/>
    <w:rsid w:val="00B75E51"/>
    <w:rsid w:val="00B76565"/>
    <w:rsid w:val="00B76A6E"/>
    <w:rsid w:val="00B77B6C"/>
    <w:rsid w:val="00B84A83"/>
    <w:rsid w:val="00B863F6"/>
    <w:rsid w:val="00B86402"/>
    <w:rsid w:val="00B879C7"/>
    <w:rsid w:val="00B87AA5"/>
    <w:rsid w:val="00B90D3F"/>
    <w:rsid w:val="00B90DA2"/>
    <w:rsid w:val="00B90F9E"/>
    <w:rsid w:val="00B91362"/>
    <w:rsid w:val="00B93893"/>
    <w:rsid w:val="00B95ABB"/>
    <w:rsid w:val="00B95E58"/>
    <w:rsid w:val="00B95FC2"/>
    <w:rsid w:val="00B96564"/>
    <w:rsid w:val="00B979F2"/>
    <w:rsid w:val="00B97DCD"/>
    <w:rsid w:val="00B97F50"/>
    <w:rsid w:val="00BA06AC"/>
    <w:rsid w:val="00BA072A"/>
    <w:rsid w:val="00BA1B1C"/>
    <w:rsid w:val="00BA2CB0"/>
    <w:rsid w:val="00BA3472"/>
    <w:rsid w:val="00BA537F"/>
    <w:rsid w:val="00BA5E9E"/>
    <w:rsid w:val="00BA770E"/>
    <w:rsid w:val="00BA77F1"/>
    <w:rsid w:val="00BA7A60"/>
    <w:rsid w:val="00BA7EDA"/>
    <w:rsid w:val="00BB11E1"/>
    <w:rsid w:val="00BB150F"/>
    <w:rsid w:val="00BB1594"/>
    <w:rsid w:val="00BB1670"/>
    <w:rsid w:val="00BB1AF4"/>
    <w:rsid w:val="00BB2BC0"/>
    <w:rsid w:val="00BB6DA1"/>
    <w:rsid w:val="00BB7ABD"/>
    <w:rsid w:val="00BB7EB7"/>
    <w:rsid w:val="00BC02E9"/>
    <w:rsid w:val="00BC0A80"/>
    <w:rsid w:val="00BC12A3"/>
    <w:rsid w:val="00BC3B53"/>
    <w:rsid w:val="00BC4526"/>
    <w:rsid w:val="00BC4A98"/>
    <w:rsid w:val="00BC4C81"/>
    <w:rsid w:val="00BC4D64"/>
    <w:rsid w:val="00BC56F5"/>
    <w:rsid w:val="00BC7D8C"/>
    <w:rsid w:val="00BC7F95"/>
    <w:rsid w:val="00BD0E16"/>
    <w:rsid w:val="00BD0F12"/>
    <w:rsid w:val="00BD1454"/>
    <w:rsid w:val="00BD4929"/>
    <w:rsid w:val="00BD5DFC"/>
    <w:rsid w:val="00BD6E88"/>
    <w:rsid w:val="00BD7AE6"/>
    <w:rsid w:val="00BE0B32"/>
    <w:rsid w:val="00BE138B"/>
    <w:rsid w:val="00BE2497"/>
    <w:rsid w:val="00BE36EF"/>
    <w:rsid w:val="00BE458E"/>
    <w:rsid w:val="00BE5564"/>
    <w:rsid w:val="00BE6A57"/>
    <w:rsid w:val="00BF1365"/>
    <w:rsid w:val="00BF2265"/>
    <w:rsid w:val="00BF2340"/>
    <w:rsid w:val="00BF24B3"/>
    <w:rsid w:val="00BF2B59"/>
    <w:rsid w:val="00BF2C4F"/>
    <w:rsid w:val="00BF37A3"/>
    <w:rsid w:val="00BF3D01"/>
    <w:rsid w:val="00BF5B51"/>
    <w:rsid w:val="00C00B67"/>
    <w:rsid w:val="00C00F4E"/>
    <w:rsid w:val="00C01061"/>
    <w:rsid w:val="00C010DC"/>
    <w:rsid w:val="00C0154A"/>
    <w:rsid w:val="00C05318"/>
    <w:rsid w:val="00C10869"/>
    <w:rsid w:val="00C11651"/>
    <w:rsid w:val="00C117E2"/>
    <w:rsid w:val="00C12C00"/>
    <w:rsid w:val="00C12CAB"/>
    <w:rsid w:val="00C12E90"/>
    <w:rsid w:val="00C12EB9"/>
    <w:rsid w:val="00C1320B"/>
    <w:rsid w:val="00C14CC1"/>
    <w:rsid w:val="00C206F1"/>
    <w:rsid w:val="00C21A80"/>
    <w:rsid w:val="00C23FB8"/>
    <w:rsid w:val="00C24B5D"/>
    <w:rsid w:val="00C26035"/>
    <w:rsid w:val="00C26079"/>
    <w:rsid w:val="00C27206"/>
    <w:rsid w:val="00C27E3D"/>
    <w:rsid w:val="00C30AC1"/>
    <w:rsid w:val="00C3189F"/>
    <w:rsid w:val="00C3256E"/>
    <w:rsid w:val="00C33340"/>
    <w:rsid w:val="00C3445F"/>
    <w:rsid w:val="00C35A91"/>
    <w:rsid w:val="00C36713"/>
    <w:rsid w:val="00C371A6"/>
    <w:rsid w:val="00C40C60"/>
    <w:rsid w:val="00C42F03"/>
    <w:rsid w:val="00C43022"/>
    <w:rsid w:val="00C4374C"/>
    <w:rsid w:val="00C447C0"/>
    <w:rsid w:val="00C458C9"/>
    <w:rsid w:val="00C46249"/>
    <w:rsid w:val="00C46B84"/>
    <w:rsid w:val="00C47819"/>
    <w:rsid w:val="00C4785F"/>
    <w:rsid w:val="00C5090D"/>
    <w:rsid w:val="00C50ECF"/>
    <w:rsid w:val="00C52281"/>
    <w:rsid w:val="00C52E42"/>
    <w:rsid w:val="00C533B5"/>
    <w:rsid w:val="00C53426"/>
    <w:rsid w:val="00C54FEA"/>
    <w:rsid w:val="00C55E5A"/>
    <w:rsid w:val="00C56BE8"/>
    <w:rsid w:val="00C60E49"/>
    <w:rsid w:val="00C61207"/>
    <w:rsid w:val="00C61FCB"/>
    <w:rsid w:val="00C62A0B"/>
    <w:rsid w:val="00C62D07"/>
    <w:rsid w:val="00C63108"/>
    <w:rsid w:val="00C63761"/>
    <w:rsid w:val="00C638E2"/>
    <w:rsid w:val="00C6537C"/>
    <w:rsid w:val="00C661FC"/>
    <w:rsid w:val="00C666E4"/>
    <w:rsid w:val="00C67B8F"/>
    <w:rsid w:val="00C73FBC"/>
    <w:rsid w:val="00C76A7C"/>
    <w:rsid w:val="00C812F7"/>
    <w:rsid w:val="00C833B6"/>
    <w:rsid w:val="00C84273"/>
    <w:rsid w:val="00C8545D"/>
    <w:rsid w:val="00C85838"/>
    <w:rsid w:val="00C876B7"/>
    <w:rsid w:val="00C90846"/>
    <w:rsid w:val="00C91B2C"/>
    <w:rsid w:val="00C92CA5"/>
    <w:rsid w:val="00C92DC6"/>
    <w:rsid w:val="00C93B39"/>
    <w:rsid w:val="00C955C0"/>
    <w:rsid w:val="00C9583F"/>
    <w:rsid w:val="00C95961"/>
    <w:rsid w:val="00CA0547"/>
    <w:rsid w:val="00CA0A69"/>
    <w:rsid w:val="00CA0E76"/>
    <w:rsid w:val="00CA361C"/>
    <w:rsid w:val="00CA40F8"/>
    <w:rsid w:val="00CA473C"/>
    <w:rsid w:val="00CA47D3"/>
    <w:rsid w:val="00CA52E3"/>
    <w:rsid w:val="00CA53DE"/>
    <w:rsid w:val="00CA58C3"/>
    <w:rsid w:val="00CA5BC9"/>
    <w:rsid w:val="00CA5F9B"/>
    <w:rsid w:val="00CA6A55"/>
    <w:rsid w:val="00CA6DEF"/>
    <w:rsid w:val="00CB156F"/>
    <w:rsid w:val="00CB1BBD"/>
    <w:rsid w:val="00CB3777"/>
    <w:rsid w:val="00CB5A73"/>
    <w:rsid w:val="00CB7EF6"/>
    <w:rsid w:val="00CC0BB4"/>
    <w:rsid w:val="00CC12DF"/>
    <w:rsid w:val="00CC4D8D"/>
    <w:rsid w:val="00CC5C21"/>
    <w:rsid w:val="00CC63E0"/>
    <w:rsid w:val="00CC6476"/>
    <w:rsid w:val="00CC6FDD"/>
    <w:rsid w:val="00CC73AE"/>
    <w:rsid w:val="00CD1689"/>
    <w:rsid w:val="00CD2492"/>
    <w:rsid w:val="00CD4556"/>
    <w:rsid w:val="00CD47BA"/>
    <w:rsid w:val="00CD5427"/>
    <w:rsid w:val="00CD604A"/>
    <w:rsid w:val="00CD6791"/>
    <w:rsid w:val="00CD7B6F"/>
    <w:rsid w:val="00CE15C4"/>
    <w:rsid w:val="00CE2E6A"/>
    <w:rsid w:val="00CE2EA9"/>
    <w:rsid w:val="00CE3354"/>
    <w:rsid w:val="00CE33BD"/>
    <w:rsid w:val="00CE3BCA"/>
    <w:rsid w:val="00CE40C5"/>
    <w:rsid w:val="00CE41DA"/>
    <w:rsid w:val="00CE6D64"/>
    <w:rsid w:val="00CE74D9"/>
    <w:rsid w:val="00CF053F"/>
    <w:rsid w:val="00CF0A55"/>
    <w:rsid w:val="00CF301C"/>
    <w:rsid w:val="00CF3905"/>
    <w:rsid w:val="00CF5E79"/>
    <w:rsid w:val="00CF7C8B"/>
    <w:rsid w:val="00D00180"/>
    <w:rsid w:val="00D00601"/>
    <w:rsid w:val="00D00793"/>
    <w:rsid w:val="00D00E5A"/>
    <w:rsid w:val="00D01D15"/>
    <w:rsid w:val="00D02314"/>
    <w:rsid w:val="00D04083"/>
    <w:rsid w:val="00D04E1A"/>
    <w:rsid w:val="00D05861"/>
    <w:rsid w:val="00D0653E"/>
    <w:rsid w:val="00D078E1"/>
    <w:rsid w:val="00D102D2"/>
    <w:rsid w:val="00D10AEF"/>
    <w:rsid w:val="00D12A7F"/>
    <w:rsid w:val="00D131D6"/>
    <w:rsid w:val="00D135BA"/>
    <w:rsid w:val="00D140AE"/>
    <w:rsid w:val="00D14DCE"/>
    <w:rsid w:val="00D17A1D"/>
    <w:rsid w:val="00D20C77"/>
    <w:rsid w:val="00D2114F"/>
    <w:rsid w:val="00D218AC"/>
    <w:rsid w:val="00D218FF"/>
    <w:rsid w:val="00D221A6"/>
    <w:rsid w:val="00D232A2"/>
    <w:rsid w:val="00D23522"/>
    <w:rsid w:val="00D25C90"/>
    <w:rsid w:val="00D25F5C"/>
    <w:rsid w:val="00D26196"/>
    <w:rsid w:val="00D279AE"/>
    <w:rsid w:val="00D30900"/>
    <w:rsid w:val="00D30F08"/>
    <w:rsid w:val="00D311EA"/>
    <w:rsid w:val="00D31C61"/>
    <w:rsid w:val="00D323BE"/>
    <w:rsid w:val="00D32F98"/>
    <w:rsid w:val="00D3450C"/>
    <w:rsid w:val="00D3465B"/>
    <w:rsid w:val="00D358D8"/>
    <w:rsid w:val="00D35A93"/>
    <w:rsid w:val="00D365C5"/>
    <w:rsid w:val="00D369ED"/>
    <w:rsid w:val="00D36C95"/>
    <w:rsid w:val="00D405AB"/>
    <w:rsid w:val="00D41280"/>
    <w:rsid w:val="00D43528"/>
    <w:rsid w:val="00D45EB0"/>
    <w:rsid w:val="00D46125"/>
    <w:rsid w:val="00D46BD2"/>
    <w:rsid w:val="00D47753"/>
    <w:rsid w:val="00D47F8D"/>
    <w:rsid w:val="00D520A7"/>
    <w:rsid w:val="00D52664"/>
    <w:rsid w:val="00D52F46"/>
    <w:rsid w:val="00D5423B"/>
    <w:rsid w:val="00D54F4E"/>
    <w:rsid w:val="00D55865"/>
    <w:rsid w:val="00D56274"/>
    <w:rsid w:val="00D60BA4"/>
    <w:rsid w:val="00D61932"/>
    <w:rsid w:val="00D61E03"/>
    <w:rsid w:val="00D62F23"/>
    <w:rsid w:val="00D62F2B"/>
    <w:rsid w:val="00D6528F"/>
    <w:rsid w:val="00D6693E"/>
    <w:rsid w:val="00D67A7A"/>
    <w:rsid w:val="00D67F8F"/>
    <w:rsid w:val="00D711A5"/>
    <w:rsid w:val="00D713FF"/>
    <w:rsid w:val="00D71FE9"/>
    <w:rsid w:val="00D722D1"/>
    <w:rsid w:val="00D72421"/>
    <w:rsid w:val="00D734E5"/>
    <w:rsid w:val="00D73F97"/>
    <w:rsid w:val="00D745A7"/>
    <w:rsid w:val="00D74D0A"/>
    <w:rsid w:val="00D767FA"/>
    <w:rsid w:val="00D76861"/>
    <w:rsid w:val="00D80CCE"/>
    <w:rsid w:val="00D81D90"/>
    <w:rsid w:val="00D82202"/>
    <w:rsid w:val="00D82714"/>
    <w:rsid w:val="00D83104"/>
    <w:rsid w:val="00D83137"/>
    <w:rsid w:val="00D85213"/>
    <w:rsid w:val="00D85A93"/>
    <w:rsid w:val="00D87FF1"/>
    <w:rsid w:val="00D900BA"/>
    <w:rsid w:val="00D92483"/>
    <w:rsid w:val="00D92633"/>
    <w:rsid w:val="00D93CE9"/>
    <w:rsid w:val="00D94DB4"/>
    <w:rsid w:val="00D951CB"/>
    <w:rsid w:val="00DA11ED"/>
    <w:rsid w:val="00DA2288"/>
    <w:rsid w:val="00DA243E"/>
    <w:rsid w:val="00DA298C"/>
    <w:rsid w:val="00DA4992"/>
    <w:rsid w:val="00DA6B73"/>
    <w:rsid w:val="00DB030C"/>
    <w:rsid w:val="00DB2280"/>
    <w:rsid w:val="00DB403F"/>
    <w:rsid w:val="00DB4A3A"/>
    <w:rsid w:val="00DB4FA7"/>
    <w:rsid w:val="00DB7D94"/>
    <w:rsid w:val="00DC1AA9"/>
    <w:rsid w:val="00DC2000"/>
    <w:rsid w:val="00DC21E0"/>
    <w:rsid w:val="00DC25A9"/>
    <w:rsid w:val="00DC5FD9"/>
    <w:rsid w:val="00DC6E11"/>
    <w:rsid w:val="00DD1B91"/>
    <w:rsid w:val="00DD368B"/>
    <w:rsid w:val="00DD6E29"/>
    <w:rsid w:val="00DD7487"/>
    <w:rsid w:val="00DD74DD"/>
    <w:rsid w:val="00DD7806"/>
    <w:rsid w:val="00DE2DA8"/>
    <w:rsid w:val="00DE343C"/>
    <w:rsid w:val="00DE5438"/>
    <w:rsid w:val="00DE575C"/>
    <w:rsid w:val="00DE578A"/>
    <w:rsid w:val="00DE5D8B"/>
    <w:rsid w:val="00DE6AC5"/>
    <w:rsid w:val="00DE6E7E"/>
    <w:rsid w:val="00DE7A2D"/>
    <w:rsid w:val="00DE7DDA"/>
    <w:rsid w:val="00DF1D1E"/>
    <w:rsid w:val="00DF2583"/>
    <w:rsid w:val="00DF27B5"/>
    <w:rsid w:val="00DF4A0C"/>
    <w:rsid w:val="00DF54D9"/>
    <w:rsid w:val="00DF6973"/>
    <w:rsid w:val="00DF7959"/>
    <w:rsid w:val="00DF79E9"/>
    <w:rsid w:val="00E00687"/>
    <w:rsid w:val="00E008CB"/>
    <w:rsid w:val="00E02019"/>
    <w:rsid w:val="00E021C8"/>
    <w:rsid w:val="00E02D61"/>
    <w:rsid w:val="00E03D32"/>
    <w:rsid w:val="00E03E8B"/>
    <w:rsid w:val="00E04465"/>
    <w:rsid w:val="00E04E34"/>
    <w:rsid w:val="00E05FDB"/>
    <w:rsid w:val="00E0656E"/>
    <w:rsid w:val="00E071C7"/>
    <w:rsid w:val="00E10991"/>
    <w:rsid w:val="00E10DC6"/>
    <w:rsid w:val="00E11F8E"/>
    <w:rsid w:val="00E12B7F"/>
    <w:rsid w:val="00E136AA"/>
    <w:rsid w:val="00E145EA"/>
    <w:rsid w:val="00E14811"/>
    <w:rsid w:val="00E14BEA"/>
    <w:rsid w:val="00E15D2C"/>
    <w:rsid w:val="00E16017"/>
    <w:rsid w:val="00E17944"/>
    <w:rsid w:val="00E17BC5"/>
    <w:rsid w:val="00E20A86"/>
    <w:rsid w:val="00E22722"/>
    <w:rsid w:val="00E2347F"/>
    <w:rsid w:val="00E276B2"/>
    <w:rsid w:val="00E33FD4"/>
    <w:rsid w:val="00E34ED6"/>
    <w:rsid w:val="00E3596E"/>
    <w:rsid w:val="00E35CB8"/>
    <w:rsid w:val="00E364EF"/>
    <w:rsid w:val="00E376C2"/>
    <w:rsid w:val="00E40793"/>
    <w:rsid w:val="00E4094E"/>
    <w:rsid w:val="00E426A4"/>
    <w:rsid w:val="00E42D22"/>
    <w:rsid w:val="00E4573C"/>
    <w:rsid w:val="00E458E2"/>
    <w:rsid w:val="00E459B7"/>
    <w:rsid w:val="00E45F37"/>
    <w:rsid w:val="00E466F2"/>
    <w:rsid w:val="00E4732C"/>
    <w:rsid w:val="00E5047E"/>
    <w:rsid w:val="00E5058F"/>
    <w:rsid w:val="00E50A17"/>
    <w:rsid w:val="00E50BD4"/>
    <w:rsid w:val="00E51000"/>
    <w:rsid w:val="00E5189D"/>
    <w:rsid w:val="00E51959"/>
    <w:rsid w:val="00E56173"/>
    <w:rsid w:val="00E56899"/>
    <w:rsid w:val="00E56ADD"/>
    <w:rsid w:val="00E575BA"/>
    <w:rsid w:val="00E5788D"/>
    <w:rsid w:val="00E57CC8"/>
    <w:rsid w:val="00E62286"/>
    <w:rsid w:val="00E634B6"/>
    <w:rsid w:val="00E634E3"/>
    <w:rsid w:val="00E63610"/>
    <w:rsid w:val="00E645B1"/>
    <w:rsid w:val="00E6586E"/>
    <w:rsid w:val="00E659A6"/>
    <w:rsid w:val="00E724F5"/>
    <w:rsid w:val="00E72ADA"/>
    <w:rsid w:val="00E737FF"/>
    <w:rsid w:val="00E75C19"/>
    <w:rsid w:val="00E75D2C"/>
    <w:rsid w:val="00E80F31"/>
    <w:rsid w:val="00E82792"/>
    <w:rsid w:val="00E82965"/>
    <w:rsid w:val="00E83485"/>
    <w:rsid w:val="00E85102"/>
    <w:rsid w:val="00E8592D"/>
    <w:rsid w:val="00E86633"/>
    <w:rsid w:val="00E873A5"/>
    <w:rsid w:val="00E876A6"/>
    <w:rsid w:val="00E935D1"/>
    <w:rsid w:val="00E93E0F"/>
    <w:rsid w:val="00E9497F"/>
    <w:rsid w:val="00E96D0E"/>
    <w:rsid w:val="00E978EF"/>
    <w:rsid w:val="00EA0376"/>
    <w:rsid w:val="00EA0AA8"/>
    <w:rsid w:val="00EA14C5"/>
    <w:rsid w:val="00EA1765"/>
    <w:rsid w:val="00EA26EF"/>
    <w:rsid w:val="00EA3241"/>
    <w:rsid w:val="00EA3A7E"/>
    <w:rsid w:val="00EA3B5F"/>
    <w:rsid w:val="00EA531A"/>
    <w:rsid w:val="00EA5786"/>
    <w:rsid w:val="00EA5D13"/>
    <w:rsid w:val="00EA615D"/>
    <w:rsid w:val="00EA75C1"/>
    <w:rsid w:val="00EA7B10"/>
    <w:rsid w:val="00EB0750"/>
    <w:rsid w:val="00EB141A"/>
    <w:rsid w:val="00EB16D4"/>
    <w:rsid w:val="00EB2DEB"/>
    <w:rsid w:val="00EB40BD"/>
    <w:rsid w:val="00EB6285"/>
    <w:rsid w:val="00EB6D1A"/>
    <w:rsid w:val="00EB7038"/>
    <w:rsid w:val="00EB7550"/>
    <w:rsid w:val="00EB7C2E"/>
    <w:rsid w:val="00EC0F04"/>
    <w:rsid w:val="00EC1309"/>
    <w:rsid w:val="00EC237D"/>
    <w:rsid w:val="00EC2FEE"/>
    <w:rsid w:val="00EC3951"/>
    <w:rsid w:val="00EC476D"/>
    <w:rsid w:val="00EC5F70"/>
    <w:rsid w:val="00EC673F"/>
    <w:rsid w:val="00EC6AAB"/>
    <w:rsid w:val="00EC6C1A"/>
    <w:rsid w:val="00EC6F2A"/>
    <w:rsid w:val="00EC70D0"/>
    <w:rsid w:val="00ED1FE8"/>
    <w:rsid w:val="00ED2F32"/>
    <w:rsid w:val="00ED40FE"/>
    <w:rsid w:val="00ED4248"/>
    <w:rsid w:val="00ED60CA"/>
    <w:rsid w:val="00ED64EF"/>
    <w:rsid w:val="00ED6CDA"/>
    <w:rsid w:val="00EE0CAE"/>
    <w:rsid w:val="00EE0EC3"/>
    <w:rsid w:val="00EE1819"/>
    <w:rsid w:val="00EE1A75"/>
    <w:rsid w:val="00EE1B9E"/>
    <w:rsid w:val="00EE1DC0"/>
    <w:rsid w:val="00EE3B01"/>
    <w:rsid w:val="00EE3EA9"/>
    <w:rsid w:val="00EE481C"/>
    <w:rsid w:val="00EE4A1F"/>
    <w:rsid w:val="00EE53EA"/>
    <w:rsid w:val="00EE7A49"/>
    <w:rsid w:val="00EF009A"/>
    <w:rsid w:val="00EF09AE"/>
    <w:rsid w:val="00EF0D0D"/>
    <w:rsid w:val="00EF0ED5"/>
    <w:rsid w:val="00EF1B5A"/>
    <w:rsid w:val="00EF2CCA"/>
    <w:rsid w:val="00EF61AC"/>
    <w:rsid w:val="00EF64FD"/>
    <w:rsid w:val="00EF6D51"/>
    <w:rsid w:val="00EF791D"/>
    <w:rsid w:val="00F01325"/>
    <w:rsid w:val="00F0172C"/>
    <w:rsid w:val="00F017B1"/>
    <w:rsid w:val="00F01BA1"/>
    <w:rsid w:val="00F03E1B"/>
    <w:rsid w:val="00F04D64"/>
    <w:rsid w:val="00F057E0"/>
    <w:rsid w:val="00F066CA"/>
    <w:rsid w:val="00F07CA4"/>
    <w:rsid w:val="00F107D7"/>
    <w:rsid w:val="00F10ADF"/>
    <w:rsid w:val="00F13F47"/>
    <w:rsid w:val="00F16EBD"/>
    <w:rsid w:val="00F17866"/>
    <w:rsid w:val="00F214D5"/>
    <w:rsid w:val="00F229EF"/>
    <w:rsid w:val="00F22C62"/>
    <w:rsid w:val="00F24A31"/>
    <w:rsid w:val="00F24E4E"/>
    <w:rsid w:val="00F25B7F"/>
    <w:rsid w:val="00F25FDD"/>
    <w:rsid w:val="00F26059"/>
    <w:rsid w:val="00F2608D"/>
    <w:rsid w:val="00F26F61"/>
    <w:rsid w:val="00F303BE"/>
    <w:rsid w:val="00F313B0"/>
    <w:rsid w:val="00F32560"/>
    <w:rsid w:val="00F32F5B"/>
    <w:rsid w:val="00F33E73"/>
    <w:rsid w:val="00F343DA"/>
    <w:rsid w:val="00F3562A"/>
    <w:rsid w:val="00F3596B"/>
    <w:rsid w:val="00F359F8"/>
    <w:rsid w:val="00F3652C"/>
    <w:rsid w:val="00F366F4"/>
    <w:rsid w:val="00F36803"/>
    <w:rsid w:val="00F376A8"/>
    <w:rsid w:val="00F4233E"/>
    <w:rsid w:val="00F43D1A"/>
    <w:rsid w:val="00F43E8A"/>
    <w:rsid w:val="00F44D5E"/>
    <w:rsid w:val="00F45528"/>
    <w:rsid w:val="00F46AA1"/>
    <w:rsid w:val="00F47235"/>
    <w:rsid w:val="00F47A9A"/>
    <w:rsid w:val="00F50554"/>
    <w:rsid w:val="00F51771"/>
    <w:rsid w:val="00F52306"/>
    <w:rsid w:val="00F538F9"/>
    <w:rsid w:val="00F53F91"/>
    <w:rsid w:val="00F5620F"/>
    <w:rsid w:val="00F56255"/>
    <w:rsid w:val="00F57321"/>
    <w:rsid w:val="00F57CD4"/>
    <w:rsid w:val="00F613E9"/>
    <w:rsid w:val="00F6168C"/>
    <w:rsid w:val="00F61A72"/>
    <w:rsid w:val="00F62282"/>
    <w:rsid w:val="00F62D1F"/>
    <w:rsid w:val="00F6371E"/>
    <w:rsid w:val="00F63E0E"/>
    <w:rsid w:val="00F65951"/>
    <w:rsid w:val="00F65DE4"/>
    <w:rsid w:val="00F66F13"/>
    <w:rsid w:val="00F678F7"/>
    <w:rsid w:val="00F700CE"/>
    <w:rsid w:val="00F70207"/>
    <w:rsid w:val="00F727BE"/>
    <w:rsid w:val="00F74073"/>
    <w:rsid w:val="00F74AC4"/>
    <w:rsid w:val="00F74D7D"/>
    <w:rsid w:val="00F751E2"/>
    <w:rsid w:val="00F7614E"/>
    <w:rsid w:val="00F76297"/>
    <w:rsid w:val="00F77245"/>
    <w:rsid w:val="00F77453"/>
    <w:rsid w:val="00F80F82"/>
    <w:rsid w:val="00F81A04"/>
    <w:rsid w:val="00F84116"/>
    <w:rsid w:val="00F8524E"/>
    <w:rsid w:val="00F85EE0"/>
    <w:rsid w:val="00F8778E"/>
    <w:rsid w:val="00F87D67"/>
    <w:rsid w:val="00F87D80"/>
    <w:rsid w:val="00F90E04"/>
    <w:rsid w:val="00F9189A"/>
    <w:rsid w:val="00F91A37"/>
    <w:rsid w:val="00F928C5"/>
    <w:rsid w:val="00F93B94"/>
    <w:rsid w:val="00F96977"/>
    <w:rsid w:val="00F970A1"/>
    <w:rsid w:val="00FA0CF9"/>
    <w:rsid w:val="00FA1759"/>
    <w:rsid w:val="00FA1F59"/>
    <w:rsid w:val="00FA277B"/>
    <w:rsid w:val="00FA28CD"/>
    <w:rsid w:val="00FA7596"/>
    <w:rsid w:val="00FB06ED"/>
    <w:rsid w:val="00FB2FD5"/>
    <w:rsid w:val="00FB3115"/>
    <w:rsid w:val="00FB3B49"/>
    <w:rsid w:val="00FB5600"/>
    <w:rsid w:val="00FB76DB"/>
    <w:rsid w:val="00FC084D"/>
    <w:rsid w:val="00FC24FF"/>
    <w:rsid w:val="00FC36AB"/>
    <w:rsid w:val="00FC3F21"/>
    <w:rsid w:val="00FC5A5F"/>
    <w:rsid w:val="00FC6AB4"/>
    <w:rsid w:val="00FC6EC6"/>
    <w:rsid w:val="00FC70F1"/>
    <w:rsid w:val="00FD09E3"/>
    <w:rsid w:val="00FD1727"/>
    <w:rsid w:val="00FD1D6B"/>
    <w:rsid w:val="00FD2798"/>
    <w:rsid w:val="00FD2A72"/>
    <w:rsid w:val="00FD511E"/>
    <w:rsid w:val="00FD5819"/>
    <w:rsid w:val="00FD6F34"/>
    <w:rsid w:val="00FD7A08"/>
    <w:rsid w:val="00FE15EB"/>
    <w:rsid w:val="00FE3228"/>
    <w:rsid w:val="00FE37E6"/>
    <w:rsid w:val="00FE4119"/>
    <w:rsid w:val="00FE435A"/>
    <w:rsid w:val="00FE4F08"/>
    <w:rsid w:val="00FE5C0A"/>
    <w:rsid w:val="00FE64E4"/>
    <w:rsid w:val="00FE7702"/>
    <w:rsid w:val="00FF0D35"/>
    <w:rsid w:val="00FF0DF2"/>
    <w:rsid w:val="00FF2FBA"/>
    <w:rsid w:val="00FF3A5A"/>
    <w:rsid w:val="00FF4939"/>
    <w:rsid w:val="00FF5128"/>
    <w:rsid w:val="00FF6EDD"/>
    <w:rsid w:val="00FF74BC"/>
    <w:rsid w:val="1F1C6716"/>
    <w:rsid w:val="3C23247D"/>
    <w:rsid w:val="471DF44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3" fill="f" fillcolor="white" stroke="f">
      <v:fill color="white" on="f"/>
      <v:stroke on="f"/>
    </o:shapedefaults>
    <o:shapelayout v:ext="edit">
      <o:idmap v:ext="edit" data="1"/>
    </o:shapelayout>
  </w:shapeDefaults>
  <w:decimalSymbol w:val=","/>
  <w:listSeparator w:val=";"/>
  <w14:docId w14:val="7378C642"/>
  <w15:docId w15:val="{AAB08491-1A20-49E7-8B5F-2ACA57211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7245"/>
    <w:pPr>
      <w:spacing w:line="240" w:lineRule="atLeast"/>
    </w:pPr>
    <w:rPr>
      <w:rFonts w:ascii="Verdana" w:hAnsi="Verdana"/>
      <w:sz w:val="18"/>
      <w:szCs w:val="24"/>
    </w:rPr>
  </w:style>
  <w:style w:type="paragraph" w:styleId="Heading1">
    <w:name w:val="heading 1"/>
    <w:basedOn w:val="Normal"/>
    <w:next w:val="Normal"/>
    <w:qFormat/>
    <w:rsid w:val="009627A5"/>
    <w:pPr>
      <w:pageBreakBefore/>
      <w:widowControl w:val="0"/>
      <w:spacing w:after="700" w:line="300" w:lineRule="atLeast"/>
      <w:contextualSpacing/>
      <w:outlineLvl w:val="0"/>
    </w:pPr>
    <w:rPr>
      <w:rFonts w:cs="Arial"/>
      <w:bCs/>
      <w:kern w:val="32"/>
      <w:sz w:val="24"/>
      <w:szCs w:val="18"/>
    </w:rPr>
  </w:style>
  <w:style w:type="paragraph" w:styleId="Heading2">
    <w:name w:val="heading 2"/>
    <w:basedOn w:val="Heading1"/>
    <w:next w:val="Normal"/>
    <w:link w:val="Heading2Char"/>
    <w:qFormat/>
    <w:rsid w:val="009627A5"/>
    <w:pPr>
      <w:keepNext/>
      <w:pageBreakBefore w:val="0"/>
      <w:spacing w:before="200" w:after="0"/>
      <w:outlineLvl w:val="1"/>
    </w:pPr>
    <w:rPr>
      <w:b/>
      <w:bCs w:val="0"/>
      <w:iCs/>
      <w:sz w:val="18"/>
      <w:szCs w:val="28"/>
    </w:rPr>
  </w:style>
  <w:style w:type="paragraph" w:styleId="Heading3">
    <w:name w:val="heading 3"/>
    <w:basedOn w:val="Heading1"/>
    <w:next w:val="Normal"/>
    <w:qFormat/>
    <w:rsid w:val="009627A5"/>
    <w:pPr>
      <w:keepNext/>
      <w:pageBreakBefore w:val="0"/>
      <w:spacing w:before="240" w:after="0" w:line="240" w:lineRule="atLeast"/>
      <w:contextualSpacing w:val="0"/>
      <w:outlineLvl w:val="2"/>
    </w:pPr>
    <w:rPr>
      <w:bCs w:val="0"/>
      <w:i/>
      <w:sz w:val="18"/>
      <w:szCs w:val="26"/>
    </w:rPr>
  </w:style>
  <w:style w:type="paragraph" w:styleId="Heading4">
    <w:name w:val="heading 4"/>
    <w:basedOn w:val="Heading1"/>
    <w:next w:val="Normal"/>
    <w:qFormat/>
    <w:rsid w:val="009627A5"/>
    <w:pPr>
      <w:keepNext/>
      <w:pageBreakBefore w:val="0"/>
      <w:spacing w:before="240" w:after="0" w:line="240" w:lineRule="atLeast"/>
      <w:contextualSpacing w:val="0"/>
      <w:outlineLvl w:val="3"/>
    </w:pPr>
    <w:rPr>
      <w:bCs w:val="0"/>
      <w:sz w:val="18"/>
      <w:szCs w:val="28"/>
    </w:rPr>
  </w:style>
  <w:style w:type="paragraph" w:styleId="Heading5">
    <w:name w:val="heading 5"/>
    <w:basedOn w:val="Normal"/>
    <w:next w:val="Normal"/>
    <w:qFormat/>
    <w:rsid w:val="009627A5"/>
    <w:pPr>
      <w:spacing w:before="240" w:after="60"/>
      <w:outlineLvl w:val="4"/>
    </w:pPr>
    <w:rPr>
      <w:b/>
      <w:bCs/>
      <w:i/>
      <w:iCs/>
      <w:sz w:val="26"/>
      <w:szCs w:val="26"/>
    </w:rPr>
  </w:style>
  <w:style w:type="paragraph" w:styleId="Heading6">
    <w:name w:val="heading 6"/>
    <w:basedOn w:val="Normal"/>
    <w:next w:val="Normal"/>
    <w:qFormat/>
    <w:rsid w:val="00F26059"/>
    <w:pPr>
      <w:numPr>
        <w:ilvl w:val="5"/>
        <w:numId w:val="1"/>
      </w:numPr>
      <w:spacing w:before="240" w:after="60"/>
      <w:outlineLvl w:val="5"/>
    </w:pPr>
    <w:rPr>
      <w:b/>
      <w:bCs/>
      <w:szCs w:val="22"/>
    </w:rPr>
  </w:style>
  <w:style w:type="paragraph" w:styleId="Heading7">
    <w:name w:val="heading 7"/>
    <w:basedOn w:val="Normal"/>
    <w:next w:val="Normal"/>
    <w:qFormat/>
    <w:rsid w:val="00F26059"/>
    <w:pPr>
      <w:numPr>
        <w:ilvl w:val="6"/>
        <w:numId w:val="1"/>
      </w:numPr>
      <w:spacing w:before="240" w:after="60"/>
      <w:outlineLvl w:val="6"/>
    </w:pPr>
    <w:rPr>
      <w:sz w:val="24"/>
    </w:rPr>
  </w:style>
  <w:style w:type="paragraph" w:styleId="Heading8">
    <w:name w:val="heading 8"/>
    <w:basedOn w:val="Normal"/>
    <w:next w:val="Normal"/>
    <w:qFormat/>
    <w:rsid w:val="00F26059"/>
    <w:pPr>
      <w:numPr>
        <w:ilvl w:val="7"/>
        <w:numId w:val="1"/>
      </w:numPr>
      <w:spacing w:before="240" w:after="60"/>
      <w:outlineLvl w:val="7"/>
    </w:pPr>
    <w:rPr>
      <w:i/>
      <w:iCs/>
      <w:sz w:val="24"/>
    </w:rPr>
  </w:style>
  <w:style w:type="paragraph" w:styleId="Heading9">
    <w:name w:val="heading 9"/>
    <w:basedOn w:val="Normal"/>
    <w:next w:val="Normal"/>
    <w:qFormat/>
    <w:rsid w:val="00FF0DF2"/>
    <w:pPr>
      <w:numPr>
        <w:ilvl w:val="8"/>
        <w:numId w:val="1"/>
      </w:numPr>
      <w:spacing w:before="240" w:after="60"/>
      <w:outlineLvl w:val="8"/>
    </w:pPr>
    <w:rPr>
      <w:rFonts w:cs="Arial"/>
      <w:b/>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Inhoudsopgave">
    <w:name w:val="Kop-Inhoudsopgave"/>
    <w:basedOn w:val="Kopzondernummering"/>
    <w:next w:val="Normal"/>
    <w:rsid w:val="009627A5"/>
  </w:style>
  <w:style w:type="paragraph" w:customStyle="1" w:styleId="Kopzondernummering">
    <w:name w:val="Kop zonder nummering"/>
    <w:basedOn w:val="Normal"/>
    <w:next w:val="Normal"/>
    <w:rsid w:val="009627A5"/>
    <w:pPr>
      <w:spacing w:after="700" w:line="300" w:lineRule="atLeast"/>
      <w:contextualSpacing/>
    </w:pPr>
    <w:rPr>
      <w:sz w:val="24"/>
    </w:rPr>
  </w:style>
  <w:style w:type="character" w:styleId="Hyperlink">
    <w:name w:val="Hyperlink"/>
    <w:rsid w:val="009627A5"/>
    <w:rPr>
      <w:rFonts w:ascii="Verdana" w:hAnsi="Verdana"/>
      <w:color w:val="000000"/>
      <w:u w:val="single"/>
    </w:rPr>
  </w:style>
  <w:style w:type="character" w:customStyle="1" w:styleId="ListNumber2Char">
    <w:name w:val="List Number 2 Char"/>
    <w:link w:val="ListNumber2"/>
    <w:rsid w:val="003C18C0"/>
    <w:rPr>
      <w:rFonts w:ascii="Verdana" w:hAnsi="Verdana"/>
      <w:sz w:val="18"/>
      <w:szCs w:val="24"/>
    </w:rPr>
  </w:style>
  <w:style w:type="paragraph" w:styleId="ListNumber2">
    <w:name w:val="List Number 2"/>
    <w:basedOn w:val="Normal"/>
    <w:link w:val="ListNumber2Char"/>
    <w:rsid w:val="009627A5"/>
    <w:pPr>
      <w:numPr>
        <w:numId w:val="4"/>
      </w:numPr>
    </w:pPr>
  </w:style>
  <w:style w:type="paragraph" w:styleId="TOC1">
    <w:name w:val="toc 1"/>
    <w:basedOn w:val="Normal"/>
    <w:next w:val="Normal"/>
    <w:uiPriority w:val="39"/>
    <w:rsid w:val="007724AB"/>
  </w:style>
  <w:style w:type="paragraph" w:customStyle="1" w:styleId="Huisstijl-Paginanummering">
    <w:name w:val="Huisstijl-Paginanummering"/>
    <w:basedOn w:val="Normal"/>
    <w:rsid w:val="009627A5"/>
    <w:pPr>
      <w:spacing w:line="180" w:lineRule="exact"/>
    </w:pPr>
    <w:rPr>
      <w:noProof/>
      <w:sz w:val="13"/>
    </w:rPr>
  </w:style>
  <w:style w:type="character" w:customStyle="1" w:styleId="ListNumberChar">
    <w:name w:val="List Number Char"/>
    <w:link w:val="ListNumber"/>
    <w:rsid w:val="003C18C0"/>
    <w:rPr>
      <w:rFonts w:ascii="Verdana" w:hAnsi="Verdana"/>
      <w:sz w:val="18"/>
      <w:szCs w:val="24"/>
    </w:rPr>
  </w:style>
  <w:style w:type="paragraph" w:styleId="ListNumber">
    <w:name w:val="List Number"/>
    <w:basedOn w:val="Normal"/>
    <w:link w:val="ListNumberChar"/>
    <w:rsid w:val="009627A5"/>
    <w:pPr>
      <w:numPr>
        <w:numId w:val="3"/>
      </w:numPr>
    </w:pPr>
  </w:style>
  <w:style w:type="character" w:customStyle="1" w:styleId="Huisstijl-Koptekst">
    <w:name w:val="Huisstijl-Koptekst"/>
    <w:rsid w:val="009627A5"/>
    <w:rPr>
      <w:rFonts w:ascii="Verdana" w:hAnsi="Verdana"/>
      <w:dstrike w:val="0"/>
      <w:sz w:val="13"/>
      <w:vertAlign w:val="baseline"/>
    </w:rPr>
  </w:style>
  <w:style w:type="paragraph" w:styleId="Header">
    <w:name w:val="header"/>
    <w:basedOn w:val="Normal"/>
    <w:rsid w:val="009627A5"/>
    <w:pPr>
      <w:tabs>
        <w:tab w:val="center" w:pos="4536"/>
        <w:tab w:val="right" w:pos="9072"/>
      </w:tabs>
    </w:pPr>
  </w:style>
  <w:style w:type="paragraph" w:styleId="Footer">
    <w:name w:val="footer"/>
    <w:basedOn w:val="Normal"/>
    <w:link w:val="FooterChar"/>
    <w:uiPriority w:val="99"/>
    <w:rsid w:val="009627A5"/>
    <w:pPr>
      <w:tabs>
        <w:tab w:val="center" w:pos="4536"/>
        <w:tab w:val="right" w:pos="9072"/>
      </w:tabs>
    </w:pPr>
  </w:style>
  <w:style w:type="paragraph" w:styleId="ListBullet2">
    <w:name w:val="List Bullet 2"/>
    <w:basedOn w:val="Normal"/>
    <w:rsid w:val="008F2143"/>
    <w:pPr>
      <w:tabs>
        <w:tab w:val="num" w:pos="-31680"/>
      </w:tabs>
      <w:ind w:left="454" w:hanging="227"/>
    </w:pPr>
    <w:rPr>
      <w:noProof/>
    </w:rPr>
  </w:style>
  <w:style w:type="paragraph" w:styleId="ListBullet">
    <w:name w:val="List Bullet"/>
    <w:basedOn w:val="Normal"/>
    <w:rsid w:val="009627A5"/>
    <w:pPr>
      <w:numPr>
        <w:numId w:val="2"/>
      </w:numPr>
    </w:pPr>
  </w:style>
  <w:style w:type="paragraph" w:styleId="Subtitle">
    <w:name w:val="Subtitle"/>
    <w:basedOn w:val="Normal"/>
    <w:next w:val="Normal"/>
    <w:link w:val="SubtitleChar"/>
    <w:qFormat/>
    <w:rsid w:val="009627A5"/>
    <w:pPr>
      <w:spacing w:line="320" w:lineRule="atLeast"/>
      <w:outlineLvl w:val="1"/>
    </w:pPr>
    <w:rPr>
      <w:sz w:val="24"/>
    </w:rPr>
  </w:style>
  <w:style w:type="paragraph" w:styleId="Title">
    <w:name w:val="Title"/>
    <w:basedOn w:val="Normal"/>
    <w:qFormat/>
    <w:rsid w:val="009627A5"/>
    <w:pPr>
      <w:spacing w:line="320" w:lineRule="atLeast"/>
      <w:outlineLvl w:val="0"/>
    </w:pPr>
    <w:rPr>
      <w:rFonts w:cs="Arial"/>
      <w:b/>
      <w:bCs/>
      <w:kern w:val="28"/>
      <w:sz w:val="24"/>
      <w:szCs w:val="32"/>
    </w:rPr>
  </w:style>
  <w:style w:type="character" w:customStyle="1" w:styleId="Huisstijl-Rubricering">
    <w:name w:val="Huisstijl-Rubricering"/>
    <w:rsid w:val="009627A5"/>
    <w:rPr>
      <w:rFonts w:ascii="Verdana" w:hAnsi="Verdana"/>
      <w:b/>
      <w:smallCaps/>
      <w:dstrike w:val="0"/>
      <w:sz w:val="13"/>
      <w:vertAlign w:val="baseline"/>
    </w:rPr>
  </w:style>
  <w:style w:type="paragraph" w:styleId="TOC2">
    <w:name w:val="toc 2"/>
    <w:basedOn w:val="TOC1"/>
    <w:next w:val="Normal"/>
    <w:autoRedefine/>
    <w:uiPriority w:val="39"/>
    <w:rsid w:val="000842B5"/>
    <w:pPr>
      <w:tabs>
        <w:tab w:val="right" w:leader="dot" w:pos="7716"/>
      </w:tabs>
      <w:spacing w:before="240"/>
      <w:ind w:hanging="1162"/>
    </w:pPr>
    <w:rPr>
      <w:b/>
      <w:noProof/>
    </w:rPr>
  </w:style>
  <w:style w:type="paragraph" w:styleId="NormalWeb">
    <w:name w:val="Normal (Web)"/>
    <w:basedOn w:val="Normal"/>
    <w:rsid w:val="009627A5"/>
  </w:style>
  <w:style w:type="paragraph" w:styleId="TOC3">
    <w:name w:val="toc 3"/>
    <w:basedOn w:val="TOC2"/>
    <w:next w:val="Normal"/>
    <w:uiPriority w:val="39"/>
    <w:rsid w:val="007724AB"/>
    <w:pPr>
      <w:spacing w:before="0"/>
    </w:pPr>
    <w:rPr>
      <w:b w:val="0"/>
    </w:rPr>
  </w:style>
  <w:style w:type="paragraph" w:customStyle="1" w:styleId="Huisstijl-TabelTitel">
    <w:name w:val="Huisstijl-TabelTitel"/>
    <w:basedOn w:val="Normal"/>
    <w:next w:val="Normal"/>
    <w:rsid w:val="009627A5"/>
    <w:rPr>
      <w:b/>
      <w:sz w:val="14"/>
    </w:rPr>
  </w:style>
  <w:style w:type="paragraph" w:customStyle="1" w:styleId="Huisstijl-Bijschrift">
    <w:name w:val="Huisstijl-Bijschrift"/>
    <w:basedOn w:val="Normal"/>
    <w:next w:val="Normal"/>
    <w:rsid w:val="009627A5"/>
    <w:rPr>
      <w:i/>
    </w:rPr>
  </w:style>
  <w:style w:type="table" w:styleId="TableGrid">
    <w:name w:val="Table Grid"/>
    <w:basedOn w:val="TableNormal"/>
    <w:rsid w:val="009627A5"/>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uisstijl-Tabel">
    <w:name w:val="Huisstijl-Tabel"/>
    <w:basedOn w:val="TableNormal"/>
    <w:rsid w:val="009627A5"/>
    <w:rPr>
      <w:rFonts w:ascii="Verdana" w:hAnsi="Verdana"/>
      <w:sz w:val="14"/>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20" w:type="dxa"/>
        <w:left w:w="60" w:type="dxa"/>
        <w:bottom w:w="120" w:type="dxa"/>
        <w:right w:w="60" w:type="dxa"/>
      </w:tblCellMar>
    </w:tblPr>
    <w:tblStylePr w:type="firstRow">
      <w:tblPr/>
      <w:tcPr>
        <w:tcMar>
          <w:top w:w="0" w:type="nil"/>
          <w:left w:w="60" w:type="dxa"/>
          <w:bottom w:w="120" w:type="dxa"/>
          <w:right w:w="60" w:type="dxa"/>
        </w:tcMar>
      </w:tcPr>
    </w:tblStylePr>
  </w:style>
  <w:style w:type="paragraph" w:customStyle="1" w:styleId="Huisstijl-TabelTekst">
    <w:name w:val="Huisstijl-TabelTekst"/>
    <w:basedOn w:val="Huisstijl-TabelTitel"/>
    <w:rsid w:val="009627A5"/>
    <w:rPr>
      <w:b w:val="0"/>
    </w:rPr>
  </w:style>
  <w:style w:type="paragraph" w:styleId="TOC4">
    <w:name w:val="toc 4"/>
    <w:basedOn w:val="TOC3"/>
    <w:next w:val="Normal"/>
    <w:semiHidden/>
    <w:rsid w:val="007724AB"/>
  </w:style>
  <w:style w:type="paragraph" w:styleId="TOC5">
    <w:name w:val="toc 5"/>
    <w:basedOn w:val="Normal"/>
    <w:next w:val="Normal"/>
    <w:autoRedefine/>
    <w:semiHidden/>
    <w:rsid w:val="007724AB"/>
    <w:pPr>
      <w:ind w:left="720"/>
    </w:pPr>
  </w:style>
  <w:style w:type="paragraph" w:styleId="FootnoteText">
    <w:name w:val="footnote text"/>
    <w:basedOn w:val="Normal"/>
    <w:link w:val="FootnoteTextChar"/>
    <w:semiHidden/>
    <w:rsid w:val="00646E47"/>
    <w:pPr>
      <w:tabs>
        <w:tab w:val="left" w:pos="600"/>
      </w:tabs>
      <w:spacing w:line="180" w:lineRule="atLeast"/>
      <w:ind w:left="240" w:hanging="240"/>
    </w:pPr>
    <w:rPr>
      <w:sz w:val="13"/>
      <w:szCs w:val="20"/>
    </w:rPr>
  </w:style>
  <w:style w:type="character" w:styleId="FootnoteReference">
    <w:name w:val="footnote reference"/>
    <w:semiHidden/>
    <w:rsid w:val="00646E47"/>
    <w:rPr>
      <w:vertAlign w:val="superscript"/>
    </w:rPr>
  </w:style>
  <w:style w:type="paragraph" w:styleId="EndnoteText">
    <w:name w:val="endnote text"/>
    <w:basedOn w:val="Normal"/>
    <w:link w:val="EndnoteTextChar"/>
    <w:semiHidden/>
    <w:rsid w:val="00646E47"/>
    <w:rPr>
      <w:sz w:val="20"/>
      <w:szCs w:val="20"/>
    </w:rPr>
  </w:style>
  <w:style w:type="character" w:styleId="EndnoteReference">
    <w:name w:val="endnote reference"/>
    <w:semiHidden/>
    <w:rsid w:val="00646E47"/>
    <w:rPr>
      <w:vertAlign w:val="superscript"/>
    </w:rPr>
  </w:style>
  <w:style w:type="paragraph" w:customStyle="1" w:styleId="Bestandsnaam">
    <w:name w:val="Bestandsnaam"/>
    <w:basedOn w:val="Header"/>
    <w:rsid w:val="009627A5"/>
    <w:pPr>
      <w:tabs>
        <w:tab w:val="clear" w:pos="4536"/>
        <w:tab w:val="clear" w:pos="9072"/>
        <w:tab w:val="center" w:pos="4153"/>
        <w:tab w:val="right" w:pos="8306"/>
      </w:tabs>
      <w:spacing w:line="280" w:lineRule="exact"/>
    </w:pPr>
    <w:rPr>
      <w:rFonts w:ascii="Times New Roman" w:hAnsi="Times New Roman"/>
      <w:sz w:val="16"/>
      <w:szCs w:val="20"/>
      <w:lang w:eastAsia="en-US"/>
    </w:rPr>
  </w:style>
  <w:style w:type="paragraph" w:customStyle="1" w:styleId="Huisstijl-Adres">
    <w:name w:val="Huisstijl-Adres"/>
    <w:basedOn w:val="Normal"/>
    <w:rsid w:val="009627A5"/>
    <w:pPr>
      <w:tabs>
        <w:tab w:val="left" w:pos="192"/>
      </w:tabs>
      <w:adjustRightInd w:val="0"/>
      <w:spacing w:after="90" w:line="180" w:lineRule="exact"/>
    </w:pPr>
    <w:rPr>
      <w:rFonts w:cs="Verdana"/>
      <w:noProof/>
      <w:sz w:val="13"/>
      <w:szCs w:val="13"/>
    </w:rPr>
  </w:style>
  <w:style w:type="paragraph" w:customStyle="1" w:styleId="Huisstijl-Gegeven">
    <w:name w:val="Huisstijl-Gegeven"/>
    <w:basedOn w:val="Normal"/>
    <w:link w:val="Huisstijl-GegevenCharChar"/>
    <w:rsid w:val="009627A5"/>
    <w:pPr>
      <w:spacing w:after="92" w:line="180" w:lineRule="exact"/>
    </w:pPr>
    <w:rPr>
      <w:noProof/>
      <w:sz w:val="13"/>
    </w:rPr>
  </w:style>
  <w:style w:type="character" w:customStyle="1" w:styleId="Huisstijl-GegevenCharChar">
    <w:name w:val="Huisstijl-Gegeven Char Char"/>
    <w:link w:val="Huisstijl-Gegeven"/>
    <w:rsid w:val="009627A5"/>
    <w:rPr>
      <w:rFonts w:ascii="Verdana" w:hAnsi="Verdana"/>
      <w:noProof/>
      <w:sz w:val="13"/>
      <w:szCs w:val="24"/>
      <w:lang w:val="nl-NL" w:eastAsia="nl-NL" w:bidi="ar-SA"/>
    </w:rPr>
  </w:style>
  <w:style w:type="paragraph" w:customStyle="1" w:styleId="Huisstijl-KixCode">
    <w:name w:val="Huisstijl-KixCode"/>
    <w:basedOn w:val="Normal"/>
    <w:rsid w:val="009627A5"/>
    <w:pPr>
      <w:spacing w:before="60" w:line="240" w:lineRule="auto"/>
    </w:pPr>
    <w:rPr>
      <w:rFonts w:ascii="KIX Barcode" w:hAnsi="KIX Barcode"/>
      <w:b/>
      <w:bCs/>
      <w:smallCaps/>
      <w:noProof/>
      <w:sz w:val="24"/>
    </w:rPr>
  </w:style>
  <w:style w:type="paragraph" w:customStyle="1" w:styleId="Huisstijl-Kopje">
    <w:name w:val="Huisstijl-Kopje"/>
    <w:basedOn w:val="Huisstijl-Gegeven"/>
    <w:rsid w:val="009627A5"/>
    <w:pPr>
      <w:spacing w:after="0"/>
    </w:pPr>
    <w:rPr>
      <w:b/>
    </w:rPr>
  </w:style>
  <w:style w:type="paragraph" w:customStyle="1" w:styleId="Huisstijl-NAW">
    <w:name w:val="Huisstijl-NAW"/>
    <w:basedOn w:val="Normal"/>
    <w:rsid w:val="009627A5"/>
    <w:pPr>
      <w:adjustRightInd w:val="0"/>
    </w:pPr>
    <w:rPr>
      <w:rFonts w:cs="Verdana"/>
      <w:noProof/>
      <w:szCs w:val="18"/>
    </w:rPr>
  </w:style>
  <w:style w:type="paragraph" w:customStyle="1" w:styleId="Huisstijl-Retouradres">
    <w:name w:val="Huisstijl-Retouradres"/>
    <w:basedOn w:val="Normal"/>
    <w:rsid w:val="009627A5"/>
    <w:pPr>
      <w:spacing w:line="180" w:lineRule="exact"/>
    </w:pPr>
    <w:rPr>
      <w:noProof/>
      <w:sz w:val="13"/>
    </w:rPr>
  </w:style>
  <w:style w:type="paragraph" w:customStyle="1" w:styleId="Huisstijl-Voorwaarden">
    <w:name w:val="Huisstijl-Voorwaarden"/>
    <w:basedOn w:val="Normal"/>
    <w:rsid w:val="009627A5"/>
    <w:pPr>
      <w:spacing w:line="180" w:lineRule="exact"/>
    </w:pPr>
    <w:rPr>
      <w:i/>
      <w:noProof/>
      <w:sz w:val="13"/>
    </w:rPr>
  </w:style>
  <w:style w:type="paragraph" w:customStyle="1" w:styleId="Minuut">
    <w:name w:val="Minuut"/>
    <w:basedOn w:val="Normal"/>
    <w:rsid w:val="009627A5"/>
    <w:pPr>
      <w:spacing w:line="280" w:lineRule="exact"/>
    </w:pPr>
    <w:rPr>
      <w:rFonts w:ascii="Times New Roman" w:hAnsi="Times New Roman"/>
      <w:b/>
      <w:sz w:val="20"/>
      <w:szCs w:val="20"/>
      <w:lang w:eastAsia="en-US"/>
    </w:rPr>
  </w:style>
  <w:style w:type="numbering" w:customStyle="1" w:styleId="StyleBulleted">
    <w:name w:val="Style Bulleted"/>
    <w:basedOn w:val="NoList"/>
    <w:rsid w:val="009627A5"/>
    <w:pPr>
      <w:numPr>
        <w:numId w:val="5"/>
      </w:numPr>
    </w:pPr>
  </w:style>
  <w:style w:type="numbering" w:customStyle="1" w:styleId="StyleNumbered">
    <w:name w:val="Style Numbered"/>
    <w:basedOn w:val="NoList"/>
    <w:rsid w:val="009627A5"/>
    <w:pPr>
      <w:numPr>
        <w:numId w:val="6"/>
      </w:numPr>
    </w:pPr>
  </w:style>
  <w:style w:type="paragraph" w:styleId="DocumentMap">
    <w:name w:val="Document Map"/>
    <w:basedOn w:val="Normal"/>
    <w:semiHidden/>
    <w:rsid w:val="003E713E"/>
    <w:pPr>
      <w:shd w:val="clear" w:color="auto" w:fill="000080"/>
    </w:pPr>
    <w:rPr>
      <w:rFonts w:ascii="Tahoma" w:hAnsi="Tahoma" w:cs="Tahoma"/>
      <w:sz w:val="20"/>
      <w:szCs w:val="20"/>
    </w:rPr>
  </w:style>
  <w:style w:type="paragraph" w:customStyle="1" w:styleId="Table">
    <w:name w:val="Table"/>
    <w:basedOn w:val="Normal"/>
    <w:rsid w:val="00470830"/>
    <w:pPr>
      <w:spacing w:line="280" w:lineRule="atLeast"/>
    </w:pPr>
    <w:rPr>
      <w:rFonts w:ascii="Times New Roman" w:hAnsi="Times New Roman"/>
      <w:sz w:val="22"/>
      <w:szCs w:val="20"/>
      <w:lang w:val="fr-FR" w:eastAsia="en-US" w:bidi="he-IL"/>
    </w:rPr>
  </w:style>
  <w:style w:type="paragraph" w:styleId="Caption">
    <w:name w:val="caption"/>
    <w:basedOn w:val="Normal"/>
    <w:next w:val="Normal"/>
    <w:qFormat/>
    <w:rsid w:val="00646E47"/>
    <w:rPr>
      <w:b/>
      <w:bCs/>
      <w:szCs w:val="20"/>
    </w:rPr>
  </w:style>
  <w:style w:type="paragraph" w:customStyle="1" w:styleId="Huisstijl-Adres2">
    <w:name w:val="Huisstijl-Adres2"/>
    <w:basedOn w:val="Huisstijl-Adres"/>
    <w:rsid w:val="00646E47"/>
    <w:pPr>
      <w:spacing w:after="0"/>
    </w:pPr>
  </w:style>
  <w:style w:type="paragraph" w:styleId="BodyText">
    <w:name w:val="Body Text"/>
    <w:basedOn w:val="Normal"/>
    <w:link w:val="BodyTextChar"/>
    <w:rsid w:val="00B56D45"/>
    <w:pPr>
      <w:spacing w:after="120"/>
    </w:pPr>
  </w:style>
  <w:style w:type="character" w:customStyle="1" w:styleId="SubtitleChar">
    <w:name w:val="Subtitle Char"/>
    <w:link w:val="Subtitle"/>
    <w:rsid w:val="008517DE"/>
    <w:rPr>
      <w:rFonts w:ascii="Verdana" w:hAnsi="Verdana"/>
      <w:sz w:val="24"/>
      <w:szCs w:val="24"/>
      <w:lang w:val="nl-NL" w:eastAsia="nl-NL" w:bidi="ar-SA"/>
    </w:rPr>
  </w:style>
  <w:style w:type="character" w:styleId="PageNumber">
    <w:name w:val="page number"/>
    <w:basedOn w:val="DefaultParagraphFont"/>
    <w:rsid w:val="009E1B8B"/>
  </w:style>
  <w:style w:type="character" w:styleId="CommentReference">
    <w:name w:val="annotation reference"/>
    <w:semiHidden/>
    <w:rsid w:val="008777AA"/>
    <w:rPr>
      <w:sz w:val="16"/>
      <w:szCs w:val="16"/>
    </w:rPr>
  </w:style>
  <w:style w:type="paragraph" w:styleId="CommentText">
    <w:name w:val="annotation text"/>
    <w:basedOn w:val="Normal"/>
    <w:link w:val="CommentTextChar"/>
    <w:semiHidden/>
    <w:rsid w:val="008777AA"/>
    <w:rPr>
      <w:sz w:val="20"/>
      <w:szCs w:val="20"/>
    </w:rPr>
  </w:style>
  <w:style w:type="paragraph" w:styleId="BalloonText">
    <w:name w:val="Balloon Text"/>
    <w:basedOn w:val="Normal"/>
    <w:semiHidden/>
    <w:rsid w:val="008777AA"/>
    <w:rPr>
      <w:rFonts w:ascii="Tahoma" w:hAnsi="Tahoma" w:cs="Tahoma"/>
      <w:sz w:val="16"/>
      <w:szCs w:val="16"/>
    </w:rPr>
  </w:style>
  <w:style w:type="character" w:customStyle="1" w:styleId="FootnoteTextChar">
    <w:name w:val="Footnote Text Char"/>
    <w:link w:val="FootnoteText"/>
    <w:semiHidden/>
    <w:rsid w:val="005150FC"/>
    <w:rPr>
      <w:rFonts w:ascii="Verdana" w:hAnsi="Verdana"/>
      <w:sz w:val="13"/>
    </w:rPr>
  </w:style>
  <w:style w:type="paragraph" w:styleId="PlainText">
    <w:name w:val="Plain Text"/>
    <w:basedOn w:val="Normal"/>
    <w:link w:val="PlainTextChar"/>
    <w:uiPriority w:val="99"/>
    <w:unhideWhenUsed/>
    <w:rsid w:val="00033E8D"/>
    <w:pPr>
      <w:spacing w:line="240" w:lineRule="auto"/>
    </w:pPr>
    <w:rPr>
      <w:rFonts w:ascii="Calibri" w:eastAsia="Calibri" w:hAnsi="Calibri"/>
      <w:sz w:val="22"/>
      <w:szCs w:val="21"/>
      <w:lang w:eastAsia="en-US"/>
    </w:rPr>
  </w:style>
  <w:style w:type="character" w:customStyle="1" w:styleId="PlainTextChar">
    <w:name w:val="Plain Text Char"/>
    <w:link w:val="PlainText"/>
    <w:uiPriority w:val="99"/>
    <w:rsid w:val="00033E8D"/>
    <w:rPr>
      <w:rFonts w:ascii="Calibri" w:eastAsia="Calibri" w:hAnsi="Calibri"/>
      <w:sz w:val="22"/>
      <w:szCs w:val="21"/>
      <w:lang w:eastAsia="en-US"/>
    </w:rPr>
  </w:style>
  <w:style w:type="character" w:customStyle="1" w:styleId="Heading2Char">
    <w:name w:val="Heading 2 Char"/>
    <w:link w:val="Heading2"/>
    <w:rsid w:val="005749A5"/>
    <w:rPr>
      <w:rFonts w:ascii="Verdana" w:hAnsi="Verdana" w:cs="Arial"/>
      <w:b/>
      <w:iCs/>
      <w:kern w:val="32"/>
      <w:sz w:val="18"/>
      <w:szCs w:val="28"/>
    </w:rPr>
  </w:style>
  <w:style w:type="paragraph" w:styleId="CommentSubject">
    <w:name w:val="annotation subject"/>
    <w:basedOn w:val="CommentText"/>
    <w:next w:val="CommentText"/>
    <w:link w:val="CommentSubjectChar"/>
    <w:rsid w:val="00EE0CAE"/>
    <w:rPr>
      <w:b/>
      <w:bCs/>
    </w:rPr>
  </w:style>
  <w:style w:type="character" w:customStyle="1" w:styleId="CommentTextChar">
    <w:name w:val="Comment Text Char"/>
    <w:link w:val="CommentText"/>
    <w:semiHidden/>
    <w:rsid w:val="00EE0CAE"/>
    <w:rPr>
      <w:rFonts w:ascii="Verdana" w:hAnsi="Verdana"/>
    </w:rPr>
  </w:style>
  <w:style w:type="character" w:customStyle="1" w:styleId="CommentSubjectChar">
    <w:name w:val="Comment Subject Char"/>
    <w:link w:val="CommentSubject"/>
    <w:rsid w:val="00EE0CAE"/>
    <w:rPr>
      <w:rFonts w:ascii="Verdana" w:hAnsi="Verdana"/>
      <w:b/>
      <w:bCs/>
    </w:rPr>
  </w:style>
  <w:style w:type="paragraph" w:styleId="Revision">
    <w:name w:val="Revision"/>
    <w:hidden/>
    <w:uiPriority w:val="99"/>
    <w:semiHidden/>
    <w:rsid w:val="008A646F"/>
    <w:rPr>
      <w:rFonts w:ascii="Verdana" w:hAnsi="Verdana"/>
      <w:sz w:val="18"/>
      <w:szCs w:val="24"/>
    </w:rPr>
  </w:style>
  <w:style w:type="character" w:customStyle="1" w:styleId="EndnoteTextChar">
    <w:name w:val="Endnote Text Char"/>
    <w:link w:val="EndnoteText"/>
    <w:semiHidden/>
    <w:rsid w:val="001F29D9"/>
    <w:rPr>
      <w:rFonts w:ascii="Verdana" w:hAnsi="Verdana"/>
    </w:rPr>
  </w:style>
  <w:style w:type="character" w:styleId="FollowedHyperlink">
    <w:name w:val="FollowedHyperlink"/>
    <w:rsid w:val="001C0DDC"/>
    <w:rPr>
      <w:color w:val="954F72"/>
      <w:u w:val="single"/>
    </w:rPr>
  </w:style>
  <w:style w:type="paragraph" w:styleId="ListParagraph">
    <w:name w:val="List Paragraph"/>
    <w:basedOn w:val="Normal"/>
    <w:uiPriority w:val="34"/>
    <w:qFormat/>
    <w:rsid w:val="008C2ADA"/>
    <w:pPr>
      <w:ind w:left="720"/>
      <w:contextualSpacing/>
    </w:pPr>
  </w:style>
  <w:style w:type="character" w:customStyle="1" w:styleId="BodyTextChar">
    <w:name w:val="Body Text Char"/>
    <w:basedOn w:val="DefaultParagraphFont"/>
    <w:link w:val="BodyText"/>
    <w:rsid w:val="000160B6"/>
    <w:rPr>
      <w:rFonts w:ascii="Verdana" w:hAnsi="Verdana"/>
      <w:sz w:val="18"/>
      <w:szCs w:val="24"/>
    </w:rPr>
  </w:style>
  <w:style w:type="character" w:customStyle="1" w:styleId="FooterChar">
    <w:name w:val="Footer Char"/>
    <w:basedOn w:val="DefaultParagraphFont"/>
    <w:link w:val="Footer"/>
    <w:uiPriority w:val="99"/>
    <w:rsid w:val="00A33725"/>
    <w:rPr>
      <w:rFonts w:ascii="Verdana" w:hAnsi="Verdan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418116">
      <w:bodyDiv w:val="1"/>
      <w:marLeft w:val="0"/>
      <w:marRight w:val="0"/>
      <w:marTop w:val="0"/>
      <w:marBottom w:val="0"/>
      <w:divBdr>
        <w:top w:val="none" w:sz="0" w:space="0" w:color="auto"/>
        <w:left w:val="none" w:sz="0" w:space="0" w:color="auto"/>
        <w:bottom w:val="none" w:sz="0" w:space="0" w:color="auto"/>
        <w:right w:val="none" w:sz="0" w:space="0" w:color="auto"/>
      </w:divBdr>
      <w:divsChild>
        <w:div w:id="1338772541">
          <w:marLeft w:val="0"/>
          <w:marRight w:val="0"/>
          <w:marTop w:val="0"/>
          <w:marBottom w:val="0"/>
          <w:divBdr>
            <w:top w:val="none" w:sz="0" w:space="0" w:color="auto"/>
            <w:left w:val="none" w:sz="0" w:space="0" w:color="auto"/>
            <w:bottom w:val="none" w:sz="0" w:space="0" w:color="auto"/>
            <w:right w:val="none" w:sz="0" w:space="0" w:color="auto"/>
          </w:divBdr>
          <w:divsChild>
            <w:div w:id="1635256463">
              <w:marLeft w:val="0"/>
              <w:marRight w:val="0"/>
              <w:marTop w:val="0"/>
              <w:marBottom w:val="0"/>
              <w:divBdr>
                <w:top w:val="none" w:sz="0" w:space="0" w:color="auto"/>
                <w:left w:val="none" w:sz="0" w:space="0" w:color="auto"/>
                <w:bottom w:val="none" w:sz="0" w:space="0" w:color="auto"/>
                <w:right w:val="none" w:sz="0" w:space="0" w:color="auto"/>
              </w:divBdr>
              <w:divsChild>
                <w:div w:id="1782603038">
                  <w:marLeft w:val="0"/>
                  <w:marRight w:val="0"/>
                  <w:marTop w:val="0"/>
                  <w:marBottom w:val="0"/>
                  <w:divBdr>
                    <w:top w:val="none" w:sz="0" w:space="0" w:color="auto"/>
                    <w:left w:val="none" w:sz="0" w:space="0" w:color="auto"/>
                    <w:bottom w:val="none" w:sz="0" w:space="0" w:color="auto"/>
                    <w:right w:val="none" w:sz="0" w:space="0" w:color="auto"/>
                  </w:divBdr>
                  <w:divsChild>
                    <w:div w:id="2140297729">
                      <w:marLeft w:val="0"/>
                      <w:marRight w:val="0"/>
                      <w:marTop w:val="0"/>
                      <w:marBottom w:val="0"/>
                      <w:divBdr>
                        <w:top w:val="none" w:sz="0" w:space="0" w:color="auto"/>
                        <w:left w:val="none" w:sz="0" w:space="0" w:color="auto"/>
                        <w:bottom w:val="none" w:sz="0" w:space="0" w:color="auto"/>
                        <w:right w:val="none" w:sz="0" w:space="0" w:color="auto"/>
                      </w:divBdr>
                      <w:divsChild>
                        <w:div w:id="682589243">
                          <w:marLeft w:val="0"/>
                          <w:marRight w:val="0"/>
                          <w:marTop w:val="0"/>
                          <w:marBottom w:val="0"/>
                          <w:divBdr>
                            <w:top w:val="none" w:sz="0" w:space="0" w:color="auto"/>
                            <w:left w:val="none" w:sz="0" w:space="0" w:color="auto"/>
                            <w:bottom w:val="none" w:sz="0" w:space="0" w:color="auto"/>
                            <w:right w:val="none" w:sz="0" w:space="0" w:color="auto"/>
                          </w:divBdr>
                          <w:divsChild>
                            <w:div w:id="15199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9421627">
      <w:bodyDiv w:val="1"/>
      <w:marLeft w:val="0"/>
      <w:marRight w:val="0"/>
      <w:marTop w:val="0"/>
      <w:marBottom w:val="0"/>
      <w:divBdr>
        <w:top w:val="none" w:sz="0" w:space="0" w:color="auto"/>
        <w:left w:val="none" w:sz="0" w:space="0" w:color="auto"/>
        <w:bottom w:val="none" w:sz="0" w:space="0" w:color="auto"/>
        <w:right w:val="none" w:sz="0" w:space="0" w:color="auto"/>
      </w:divBdr>
    </w:div>
    <w:div w:id="1727800470">
      <w:bodyDiv w:val="1"/>
      <w:marLeft w:val="0"/>
      <w:marRight w:val="0"/>
      <w:marTop w:val="0"/>
      <w:marBottom w:val="0"/>
      <w:divBdr>
        <w:top w:val="none" w:sz="0" w:space="0" w:color="auto"/>
        <w:left w:val="none" w:sz="0" w:space="0" w:color="auto"/>
        <w:bottom w:val="none" w:sz="0" w:space="0" w:color="auto"/>
        <w:right w:val="none" w:sz="0" w:space="0" w:color="auto"/>
      </w:divBdr>
    </w:div>
    <w:div w:id="2028098065">
      <w:bodyDiv w:val="1"/>
      <w:marLeft w:val="0"/>
      <w:marRight w:val="0"/>
      <w:marTop w:val="0"/>
      <w:marBottom w:val="0"/>
      <w:divBdr>
        <w:top w:val="none" w:sz="0" w:space="0" w:color="auto"/>
        <w:left w:val="none" w:sz="0" w:space="0" w:color="auto"/>
        <w:bottom w:val="none" w:sz="0" w:space="0" w:color="auto"/>
        <w:right w:val="none" w:sz="0" w:space="0" w:color="auto"/>
      </w:divBdr>
    </w:div>
    <w:div w:id="208557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D00FE1C956BA45BF0DCD7E4E5F6184" ma:contentTypeVersion="0" ma:contentTypeDescription="Create a new document." ma:contentTypeScope="" ma:versionID="e28042f44dbb528eb8800456998bbc2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62BCB-F48B-41C0-B6E9-3A9E794E40A8}">
  <ds:schemaRefs>
    <ds:schemaRef ds:uri="http://schemas.microsoft.com/sharepoint/v3/contenttype/forms"/>
  </ds:schemaRefs>
</ds:datastoreItem>
</file>

<file path=customXml/itemProps2.xml><?xml version="1.0" encoding="utf-8"?>
<ds:datastoreItem xmlns:ds="http://schemas.openxmlformats.org/officeDocument/2006/customXml" ds:itemID="{FF060AE7-AB96-4CFF-8D49-0906EA6C79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4B16F93-8A82-43A8-85FE-B9DCBDB0B9D4}">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BC25092E-CDAF-4A69-98C4-B797A5BE0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C1D80597</Template>
  <TotalTime>111</TotalTime>
  <Pages>19</Pages>
  <Words>6585</Words>
  <Characters>40043</Characters>
  <Application>Microsoft Office Word</Application>
  <DocSecurity>0</DocSecurity>
  <Lines>333</Lines>
  <Paragraphs>93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Algemene Aanwijzingen</vt:lpstr>
      <vt:lpstr>Algemene Aanwijzingen</vt:lpstr>
    </vt:vector>
  </TitlesOfParts>
  <Company>Ministerie van Buitenlandse Zaken</Company>
  <LinksUpToDate>false</LinksUpToDate>
  <CharactersWithSpaces>46535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Algemene Aanwijzingen</dc:title>
  <dc:creator>Han Huiskamp</dc:creator>
  <cp:lastModifiedBy>Hengelaar, Dieke</cp:lastModifiedBy>
  <cp:revision>11</cp:revision>
  <cp:lastPrinted>2017-05-23T07:56:00Z</cp:lastPrinted>
  <dcterms:created xsi:type="dcterms:W3CDTF">2017-08-21T13:02:00Z</dcterms:created>
  <dcterms:modified xsi:type="dcterms:W3CDTF">2017-08-25T09:21:00Z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_DATE">
    <vt:lpwstr>Datum</vt:lpwstr>
  </property>
  <property fmtid="{D5CDD505-2E9C-101B-9397-08002B2CF9AE}" pid="3" name="L_PLACE">
    <vt:lpwstr>Plaats</vt:lpwstr>
  </property>
  <property fmtid="{D5CDD505-2E9C-101B-9397-08002B2CF9AE}" pid="4" name="SIG_DIR">
    <vt:lpwstr>Directie Verenigde Naties en Internationale Financiële Instellingen</vt:lpwstr>
  </property>
  <property fmtid="{D5CDD505-2E9C-101B-9397-08002B2CF9AE}" pid="5" name="SIG_DEP">
    <vt:lpwstr>Sociaal Economische VN Zaken</vt:lpwstr>
  </property>
  <property fmtid="{D5CDD505-2E9C-101B-9397-08002B2CF9AE}" pid="6" name="SIG_PHONE">
    <vt:lpwstr>+31 (0)70- 3484194</vt:lpwstr>
  </property>
  <property fmtid="{D5CDD505-2E9C-101B-9397-08002B2CF9AE}" pid="7" name="L_AUTHOR">
    <vt:lpwstr>Redacteur(en):</vt:lpwstr>
  </property>
  <property fmtid="{D5CDD505-2E9C-101B-9397-08002B2CF9AE}" pid="8" name="L_CONTACT">
    <vt:lpwstr>Opgesteld door</vt:lpwstr>
  </property>
  <property fmtid="{D5CDD505-2E9C-101B-9397-08002B2CF9AE}" pid="9" name="L_TOC">
    <vt:lpwstr>Inhoudsopgave</vt:lpwstr>
  </property>
  <property fmtid="{D5CDD505-2E9C-101B-9397-08002B2CF9AE}" pid="10" name="L_PAGE">
    <vt:lpwstr>Pagina</vt:lpwstr>
  </property>
  <property fmtid="{D5CDD505-2E9C-101B-9397-08002B2CF9AE}" pid="11" name="L_PAGEOF">
    <vt:lpwstr>van</vt:lpwstr>
  </property>
  <property fmtid="{D5CDD505-2E9C-101B-9397-08002B2CF9AE}" pid="12" name="L_ENCLOSURES">
    <vt:lpwstr>Bijlage(n)</vt:lpwstr>
  </property>
  <property fmtid="{D5CDD505-2E9C-101B-9397-08002B2CF9AE}" pid="13" name="L_CITY">
    <vt:lpwstr>Plaats</vt:lpwstr>
  </property>
  <property fmtid="{D5CDD505-2E9C-101B-9397-08002B2CF9AE}" pid="14" name="BZ_Language">
    <vt:lpwstr>Dutch</vt:lpwstr>
  </property>
  <property fmtid="{D5CDD505-2E9C-101B-9397-08002B2CF9AE}" pid="15" name="SIG_NAME">
    <vt:lpwstr>Han Huiskamp</vt:lpwstr>
  </property>
  <property fmtid="{D5CDD505-2E9C-101B-9397-08002B2CF9AE}" pid="16" name="SIG_FUNCTION">
    <vt:lpwstr>Beleidsmedewerker</vt:lpwstr>
  </property>
  <property fmtid="{D5CDD505-2E9C-101B-9397-08002B2CF9AE}" pid="17" name="SIG_SENDER">
    <vt:lpwstr>Han Huiskamp</vt:lpwstr>
  </property>
  <property fmtid="{D5CDD505-2E9C-101B-9397-08002B2CF9AE}" pid="18" name="SIG_CdP">
    <vt:lpwstr>unknown CdP</vt:lpwstr>
  </property>
  <property fmtid="{D5CDD505-2E9C-101B-9397-08002B2CF9AE}" pid="19" name="ContentTypeId">
    <vt:lpwstr>0x01010088D00FE1C956BA45BF0DCD7E4E5F6184</vt:lpwstr>
  </property>
</Properties>
</file>