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BB09B" w14:textId="2143AB88" w:rsidR="00CC3CAF" w:rsidRPr="00785F18" w:rsidRDefault="00CC3CAF" w:rsidP="00CC3CAF">
      <w:bookmarkStart w:id="0" w:name="_Toc209500354"/>
      <w:bookmarkStart w:id="1" w:name="_Toc219275270"/>
      <w:bookmarkStart w:id="2" w:name="_Toc219275340"/>
      <w:bookmarkStart w:id="3" w:name="_Toc219518985"/>
      <w:r>
        <w:rPr>
          <w:noProof/>
        </w:rPr>
        <mc:AlternateContent>
          <mc:Choice Requires="wps">
            <w:drawing>
              <wp:anchor distT="0" distB="0" distL="114300" distR="114300" simplePos="0" relativeHeight="251658752" behindDoc="0" locked="0" layoutInCell="1" allowOverlap="1" wp14:anchorId="675D6BEB" wp14:editId="060204D2">
                <wp:simplePos x="0" y="0"/>
                <wp:positionH relativeFrom="column">
                  <wp:posOffset>1386840</wp:posOffset>
                </wp:positionH>
                <wp:positionV relativeFrom="page">
                  <wp:posOffset>-87630</wp:posOffset>
                </wp:positionV>
                <wp:extent cx="4025900" cy="1746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844CC1" w14:paraId="2554B771" w14:textId="77777777">
                              <w:trPr>
                                <w:trHeight w:val="2636"/>
                              </w:trPr>
                              <w:tc>
                                <w:tcPr>
                                  <w:tcW w:w="737" w:type="dxa"/>
                                  <w:shd w:val="clear" w:color="auto" w:fill="auto"/>
                                </w:tcPr>
                                <w:p w14:paraId="38C4868D" w14:textId="77777777" w:rsidR="00844CC1" w:rsidRDefault="00844CC1" w:rsidP="006E263E">
                                  <w:pPr>
                                    <w:spacing w:line="240" w:lineRule="auto"/>
                                  </w:pPr>
                                  <w:bookmarkStart w:id="4" w:name="bm_BZlogo"/>
                                  <w:bookmarkEnd w:id="4"/>
                                  <w:r>
                                    <w:rPr>
                                      <w:noProof/>
                                    </w:rPr>
                                    <w:drawing>
                                      <wp:inline distT="0" distB="0" distL="0" distR="0" wp14:anchorId="53EE9426" wp14:editId="02B66A2C">
                                        <wp:extent cx="469265" cy="1582420"/>
                                        <wp:effectExtent l="0" t="0" r="0" b="0"/>
                                        <wp:docPr id="15"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265" cy="1582420"/>
                                                </a:xfrm>
                                                <a:prstGeom prst="rect">
                                                  <a:avLst/>
                                                </a:prstGeom>
                                                <a:noFill/>
                                                <a:ln>
                                                  <a:noFill/>
                                                </a:ln>
                                              </pic:spPr>
                                            </pic:pic>
                                          </a:graphicData>
                                        </a:graphic>
                                      </wp:inline>
                                    </w:drawing>
                                  </w:r>
                                </w:p>
                              </w:tc>
                              <w:tc>
                                <w:tcPr>
                                  <w:tcW w:w="5383" w:type="dxa"/>
                                  <w:shd w:val="clear" w:color="auto" w:fill="auto"/>
                                </w:tcPr>
                                <w:p w14:paraId="666AABFB" w14:textId="77777777" w:rsidR="00844CC1" w:rsidRDefault="00844CC1" w:rsidP="006E263E">
                                  <w:pPr>
                                    <w:spacing w:line="240" w:lineRule="auto"/>
                                  </w:pPr>
                                  <w:r>
                                    <w:rPr>
                                      <w:noProof/>
                                    </w:rPr>
                                    <w:drawing>
                                      <wp:inline distT="0" distB="0" distL="0" distR="0" wp14:anchorId="2B13D0D5" wp14:editId="323F53B9">
                                        <wp:extent cx="2440940" cy="1654175"/>
                                        <wp:effectExtent l="0" t="0" r="0" b="0"/>
                                        <wp:docPr id="16" name="Picture 16"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40940" cy="1654175"/>
                                                </a:xfrm>
                                                <a:prstGeom prst="rect">
                                                  <a:avLst/>
                                                </a:prstGeom>
                                                <a:noFill/>
                                                <a:ln>
                                                  <a:noFill/>
                                                </a:ln>
                                              </pic:spPr>
                                            </pic:pic>
                                          </a:graphicData>
                                        </a:graphic>
                                      </wp:inline>
                                    </w:drawing>
                                  </w:r>
                                </w:p>
                              </w:tc>
                            </w:tr>
                          </w:tbl>
                          <w:p w14:paraId="3E0E3C2C" w14:textId="77777777" w:rsidR="00844CC1" w:rsidRDefault="00844CC1" w:rsidP="00CC3C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5D6BEB"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844CC1" w14:paraId="2554B771" w14:textId="77777777">
                        <w:trPr>
                          <w:trHeight w:val="2636"/>
                        </w:trPr>
                        <w:tc>
                          <w:tcPr>
                            <w:tcW w:w="737" w:type="dxa"/>
                            <w:shd w:val="clear" w:color="auto" w:fill="auto"/>
                          </w:tcPr>
                          <w:p w14:paraId="38C4868D" w14:textId="77777777" w:rsidR="00844CC1" w:rsidRDefault="00844CC1" w:rsidP="006E263E">
                            <w:pPr>
                              <w:spacing w:line="240" w:lineRule="auto"/>
                            </w:pPr>
                            <w:bookmarkStart w:id="5" w:name="bm_BZlogo"/>
                            <w:bookmarkEnd w:id="5"/>
                            <w:r>
                              <w:rPr>
                                <w:noProof/>
                              </w:rPr>
                              <w:drawing>
                                <wp:inline distT="0" distB="0" distL="0" distR="0" wp14:anchorId="53EE9426" wp14:editId="02B66A2C">
                                  <wp:extent cx="469265" cy="1582420"/>
                                  <wp:effectExtent l="0" t="0" r="0" b="0"/>
                                  <wp:docPr id="15"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265" cy="1582420"/>
                                          </a:xfrm>
                                          <a:prstGeom prst="rect">
                                            <a:avLst/>
                                          </a:prstGeom>
                                          <a:noFill/>
                                          <a:ln>
                                            <a:noFill/>
                                          </a:ln>
                                        </pic:spPr>
                                      </pic:pic>
                                    </a:graphicData>
                                  </a:graphic>
                                </wp:inline>
                              </w:drawing>
                            </w:r>
                          </w:p>
                        </w:tc>
                        <w:tc>
                          <w:tcPr>
                            <w:tcW w:w="5383" w:type="dxa"/>
                            <w:shd w:val="clear" w:color="auto" w:fill="auto"/>
                          </w:tcPr>
                          <w:p w14:paraId="666AABFB" w14:textId="77777777" w:rsidR="00844CC1" w:rsidRDefault="00844CC1" w:rsidP="006E263E">
                            <w:pPr>
                              <w:spacing w:line="240" w:lineRule="auto"/>
                            </w:pPr>
                            <w:r>
                              <w:rPr>
                                <w:noProof/>
                              </w:rPr>
                              <w:drawing>
                                <wp:inline distT="0" distB="0" distL="0" distR="0" wp14:anchorId="2B13D0D5" wp14:editId="323F53B9">
                                  <wp:extent cx="2440940" cy="1654175"/>
                                  <wp:effectExtent l="0" t="0" r="0" b="0"/>
                                  <wp:docPr id="16" name="Picture 16"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40940" cy="1654175"/>
                                          </a:xfrm>
                                          <a:prstGeom prst="rect">
                                            <a:avLst/>
                                          </a:prstGeom>
                                          <a:noFill/>
                                          <a:ln>
                                            <a:noFill/>
                                          </a:ln>
                                        </pic:spPr>
                                      </pic:pic>
                                    </a:graphicData>
                                  </a:graphic>
                                </wp:inline>
                              </w:drawing>
                            </w:r>
                          </w:p>
                        </w:tc>
                      </w:tr>
                    </w:tbl>
                    <w:p w14:paraId="3E0E3C2C" w14:textId="77777777" w:rsidR="00844CC1" w:rsidRDefault="00844CC1" w:rsidP="00CC3CAF"/>
                  </w:txbxContent>
                </v:textbox>
                <w10:wrap anchory="page"/>
              </v:shape>
            </w:pict>
          </mc:Fallback>
        </mc:AlternateContent>
      </w:r>
    </w:p>
    <w:tbl>
      <w:tblPr>
        <w:tblW w:w="4768" w:type="dxa"/>
        <w:tblLayout w:type="fixed"/>
        <w:tblCellMar>
          <w:left w:w="0" w:type="dxa"/>
          <w:right w:w="0" w:type="dxa"/>
        </w:tblCellMar>
        <w:tblLook w:val="0000" w:firstRow="0" w:lastRow="0" w:firstColumn="0" w:lastColumn="0" w:noHBand="0" w:noVBand="0"/>
      </w:tblPr>
      <w:tblGrid>
        <w:gridCol w:w="4768"/>
      </w:tblGrid>
      <w:tr w:rsidR="00CC3CAF" w:rsidRPr="00B36546" w14:paraId="52D90EDB" w14:textId="77777777" w:rsidTr="00CC3CAF">
        <w:trPr>
          <w:cantSplit/>
          <w:trHeight w:hRule="exact" w:val="65"/>
        </w:trPr>
        <w:tc>
          <w:tcPr>
            <w:tcW w:w="4768" w:type="dxa"/>
            <w:shd w:val="clear" w:color="auto" w:fill="auto"/>
          </w:tcPr>
          <w:p w14:paraId="2854A8B6" w14:textId="77777777" w:rsidR="00CC3CAF" w:rsidRPr="00B36546" w:rsidRDefault="00CC3CAF" w:rsidP="00E83287">
            <w:pPr>
              <w:rPr>
                <w:lang w:val="en-GB"/>
              </w:rPr>
            </w:pPr>
          </w:p>
        </w:tc>
      </w:tr>
      <w:tr w:rsidR="00CC3CAF" w:rsidRPr="00B36546" w14:paraId="7F7B3BDD" w14:textId="77777777" w:rsidTr="00CC3CAF">
        <w:trPr>
          <w:cantSplit/>
          <w:trHeight w:hRule="exact" w:val="131"/>
        </w:trPr>
        <w:tc>
          <w:tcPr>
            <w:tcW w:w="4768" w:type="dxa"/>
            <w:shd w:val="clear" w:color="auto" w:fill="auto"/>
          </w:tcPr>
          <w:p w14:paraId="6C1BBEFF" w14:textId="77777777" w:rsidR="00CC3CAF" w:rsidRPr="00B36546" w:rsidRDefault="00CC3CAF" w:rsidP="00E83287">
            <w:pPr>
              <w:rPr>
                <w:lang w:val="en-GB"/>
              </w:rPr>
            </w:pPr>
          </w:p>
        </w:tc>
      </w:tr>
      <w:tr w:rsidR="00CC3CAF" w:rsidRPr="00B36546" w14:paraId="18E0F7CC" w14:textId="77777777" w:rsidTr="00CC3CAF">
        <w:trPr>
          <w:cantSplit/>
          <w:trHeight w:hRule="exact" w:val="131"/>
        </w:trPr>
        <w:tc>
          <w:tcPr>
            <w:tcW w:w="4768" w:type="dxa"/>
            <w:shd w:val="clear" w:color="auto" w:fill="auto"/>
          </w:tcPr>
          <w:p w14:paraId="13B4C472" w14:textId="77777777" w:rsidR="00CC3CAF" w:rsidRPr="00B36546" w:rsidRDefault="00CC3CAF" w:rsidP="00E83287">
            <w:pPr>
              <w:rPr>
                <w:lang w:val="en-GB"/>
              </w:rPr>
            </w:pPr>
          </w:p>
        </w:tc>
      </w:tr>
    </w:tbl>
    <w:p w14:paraId="35B4779C" w14:textId="13635EEF" w:rsidR="00CC3CAF" w:rsidRDefault="00CC3CAF" w:rsidP="00CC3CAF">
      <w:pPr>
        <w:rPr>
          <w:lang w:val="en-GB"/>
        </w:rPr>
      </w:pPr>
    </w:p>
    <w:p w14:paraId="7246D276" w14:textId="77777777" w:rsidR="00AE2248" w:rsidRPr="00567987" w:rsidRDefault="008720EB" w:rsidP="00AE2248">
      <w:pPr>
        <w:ind w:left="2292" w:hanging="2292"/>
        <w:rPr>
          <w:lang w:val="en-US"/>
        </w:rPr>
      </w:pPr>
      <w:r w:rsidRPr="00A02874">
        <w:rPr>
          <w:lang w:val="en-US"/>
        </w:rPr>
        <w:t xml:space="preserve">SCORECARD </w:t>
      </w:r>
      <w:r w:rsidR="00AE2248" w:rsidRPr="00A02874">
        <w:rPr>
          <w:lang w:val="en-US"/>
        </w:rPr>
        <w:tab/>
      </w:r>
      <w:r w:rsidR="00AE2248" w:rsidRPr="00567987">
        <w:rPr>
          <w:lang w:val="en-US"/>
        </w:rPr>
        <w:t xml:space="preserve">United Nations Development Programme (UNDP) </w:t>
      </w:r>
    </w:p>
    <w:p w14:paraId="7246D277" w14:textId="77777777" w:rsidR="008720EB" w:rsidRPr="00A02874" w:rsidRDefault="008720EB" w:rsidP="002F6CE5">
      <w:pPr>
        <w:ind w:left="2292" w:hanging="2292"/>
        <w:rPr>
          <w:lang w:val="en-US"/>
        </w:rPr>
      </w:pPr>
    </w:p>
    <w:p w14:paraId="7246D278" w14:textId="77777777" w:rsidR="009B57FB" w:rsidRDefault="00485E80" w:rsidP="002F6CE5">
      <w:pPr>
        <w:ind w:left="2292" w:hanging="2292"/>
      </w:pPr>
      <w:r>
        <w:fldChar w:fldCharType="begin"/>
      </w:r>
      <w:r>
        <w:instrText xml:space="preserve"> DOCPROPERTY  L_CONTACT  \* MERGEFORMAT </w:instrText>
      </w:r>
      <w:r>
        <w:fldChar w:fldCharType="separate"/>
      </w:r>
      <w:r w:rsidR="00BA3472">
        <w:t>Opgesteld door</w:t>
      </w:r>
      <w:r>
        <w:fldChar w:fldCharType="end"/>
      </w:r>
      <w:r w:rsidR="002F6CE5" w:rsidRPr="00785F18">
        <w:tab/>
      </w:r>
      <w:r w:rsidR="003A65E8">
        <w:t xml:space="preserve">Directie </w:t>
      </w:r>
      <w:r w:rsidR="00460E7F">
        <w:t>Multilaterale Instellingen en Mensenrechten</w:t>
      </w:r>
    </w:p>
    <w:p w14:paraId="7246D279" w14:textId="5D6237F0" w:rsidR="002F6CE5" w:rsidRPr="00785F18" w:rsidRDefault="002F6CE5" w:rsidP="002F6CE5">
      <w:pPr>
        <w:ind w:left="2292" w:hanging="2292"/>
      </w:pPr>
      <w:r w:rsidRPr="00785F18">
        <w:br/>
      </w:r>
    </w:p>
    <w:tbl>
      <w:tblPr>
        <w:tblW w:w="0" w:type="auto"/>
        <w:tblLook w:val="01E0" w:firstRow="1" w:lastRow="1" w:firstColumn="1" w:lastColumn="1" w:noHBand="0" w:noVBand="0"/>
      </w:tblPr>
      <w:tblGrid>
        <w:gridCol w:w="2241"/>
        <w:gridCol w:w="5485"/>
      </w:tblGrid>
      <w:tr w:rsidR="002F6CE5" w:rsidRPr="00785F18" w14:paraId="7246D27E" w14:textId="77777777" w:rsidTr="00CB2019">
        <w:tc>
          <w:tcPr>
            <w:tcW w:w="2241" w:type="dxa"/>
            <w:shd w:val="clear" w:color="auto" w:fill="auto"/>
          </w:tcPr>
          <w:p w14:paraId="7246D27B" w14:textId="29A2FA6A" w:rsidR="002F6CE5" w:rsidRPr="00785F18" w:rsidRDefault="00F808F3" w:rsidP="00096F6B">
            <w:r>
              <w:fldChar w:fldCharType="begin"/>
            </w:r>
            <w:r w:rsidR="00222712">
              <w:instrText xml:space="preserve"> DOCPROPERTY  L_AUTHOR  \* MERGEFORMAT </w:instrText>
            </w:r>
            <w:r>
              <w:fldChar w:fldCharType="separate"/>
            </w:r>
            <w:r w:rsidR="00BA3472">
              <w:t>Redacteur:</w:t>
            </w:r>
            <w:r>
              <w:fldChar w:fldCharType="end"/>
            </w:r>
          </w:p>
        </w:tc>
        <w:tc>
          <w:tcPr>
            <w:tcW w:w="5485" w:type="dxa"/>
            <w:shd w:val="clear" w:color="auto" w:fill="auto"/>
          </w:tcPr>
          <w:p w14:paraId="7246D27C" w14:textId="77777777" w:rsidR="002F6CE5" w:rsidRDefault="00A02874" w:rsidP="00221806">
            <w:r>
              <w:t>Mario Leeflang</w:t>
            </w:r>
          </w:p>
          <w:p w14:paraId="7246D27D" w14:textId="58CF664D" w:rsidR="002F6CE5" w:rsidRPr="00785F18" w:rsidRDefault="00096F6B" w:rsidP="00A02874">
            <w:r>
              <w:t>A</w:t>
            </w:r>
            <w:r w:rsidR="00326699">
              <w:t>fgestemd met</w:t>
            </w:r>
            <w:r w:rsidR="00485E80">
              <w:t xml:space="preserve"> PVNY</w:t>
            </w:r>
            <w:r w:rsidR="0018535A">
              <w:t xml:space="preserve">, </w:t>
            </w:r>
            <w:r w:rsidR="00A02874">
              <w:t>DSH, IGG, DSO en DDE</w:t>
            </w:r>
          </w:p>
        </w:tc>
      </w:tr>
    </w:tbl>
    <w:p w14:paraId="7246D27F" w14:textId="17D8350F" w:rsidR="00A50264" w:rsidRDefault="00A50264" w:rsidP="00991C2E"/>
    <w:p w14:paraId="7246D29C" w14:textId="3AC15A45" w:rsidR="00A908F9" w:rsidRDefault="00A50264" w:rsidP="00C90DC5">
      <w:pPr>
        <w:spacing w:line="240" w:lineRule="auto"/>
        <w:rPr>
          <w:sz w:val="24"/>
        </w:rPr>
      </w:pPr>
      <w:r>
        <w:br w:type="page"/>
      </w:r>
      <w:bookmarkEnd w:id="0"/>
      <w:bookmarkEnd w:id="1"/>
      <w:bookmarkEnd w:id="2"/>
      <w:bookmarkEnd w:id="3"/>
      <w:r w:rsidR="00F808F3" w:rsidRPr="00844CC1">
        <w:rPr>
          <w:sz w:val="24"/>
        </w:rPr>
        <w:lastRenderedPageBreak/>
        <w:fldChar w:fldCharType="begin"/>
      </w:r>
      <w:r w:rsidR="00222712" w:rsidRPr="00844CC1">
        <w:rPr>
          <w:sz w:val="24"/>
        </w:rPr>
        <w:instrText xml:space="preserve"> DOCPROPERTY  L_TOC  \* MERGEFORMAT </w:instrText>
      </w:r>
      <w:r w:rsidR="00F808F3" w:rsidRPr="00844CC1">
        <w:rPr>
          <w:sz w:val="24"/>
        </w:rPr>
        <w:fldChar w:fldCharType="separate"/>
      </w:r>
      <w:bookmarkStart w:id="6" w:name="_Toc287446465"/>
      <w:bookmarkStart w:id="7" w:name="_Toc287454445"/>
      <w:r w:rsidR="00BA3472" w:rsidRPr="00844CC1">
        <w:rPr>
          <w:sz w:val="24"/>
        </w:rPr>
        <w:t>Inhoudsopgave</w:t>
      </w:r>
      <w:bookmarkEnd w:id="6"/>
      <w:bookmarkEnd w:id="7"/>
      <w:r w:rsidR="00F808F3" w:rsidRPr="00844CC1">
        <w:rPr>
          <w:sz w:val="24"/>
        </w:rPr>
        <w:fldChar w:fldCharType="end"/>
      </w:r>
    </w:p>
    <w:p w14:paraId="3C18554D" w14:textId="0DA28582" w:rsidR="00844CC1" w:rsidRDefault="00844CC1" w:rsidP="00C90DC5">
      <w:pPr>
        <w:spacing w:line="240" w:lineRule="auto"/>
      </w:pPr>
    </w:p>
    <w:p w14:paraId="2EE87E35" w14:textId="532EBDBC" w:rsidR="00844CC1" w:rsidRDefault="00844CC1" w:rsidP="00C90DC5">
      <w:pPr>
        <w:spacing w:line="240" w:lineRule="auto"/>
      </w:pPr>
    </w:p>
    <w:p w14:paraId="4331B0B6" w14:textId="77777777" w:rsidR="00844CC1" w:rsidRDefault="00844CC1" w:rsidP="00C90DC5">
      <w:pPr>
        <w:spacing w:line="240" w:lineRule="auto"/>
      </w:pPr>
    </w:p>
    <w:p w14:paraId="46C716C1" w14:textId="24A10079" w:rsidR="00356075" w:rsidRDefault="00F808F3">
      <w:pPr>
        <w:pStyle w:val="TOC2"/>
        <w:rPr>
          <w:rFonts w:asciiTheme="minorHAnsi" w:eastAsiaTheme="minorEastAsia" w:hAnsiTheme="minorHAnsi" w:cstheme="minorBidi"/>
          <w:b w:val="0"/>
          <w:sz w:val="22"/>
          <w:szCs w:val="22"/>
        </w:rPr>
      </w:pPr>
      <w:r w:rsidRPr="00785F18">
        <w:fldChar w:fldCharType="begin"/>
      </w:r>
      <w:r w:rsidR="006B2292" w:rsidRPr="00785F18">
        <w:instrText xml:space="preserve"> TOC \t "Heading 1;2;Heading 2;3;Heading 3;4;Kop-Inhoudsopgave;1;Kop zonder nummering;1;Subtitle;2;Title;1" </w:instrText>
      </w:r>
      <w:r w:rsidRPr="00785F18">
        <w:fldChar w:fldCharType="separate"/>
      </w:r>
      <w:r w:rsidR="00356075">
        <w:t>1</w:t>
      </w:r>
      <w:r w:rsidR="00356075">
        <w:rPr>
          <w:rFonts w:asciiTheme="minorHAnsi" w:eastAsiaTheme="minorEastAsia" w:hAnsiTheme="minorHAnsi" w:cstheme="minorBidi"/>
          <w:b w:val="0"/>
          <w:sz w:val="22"/>
          <w:szCs w:val="22"/>
        </w:rPr>
        <w:tab/>
      </w:r>
      <w:r w:rsidR="00356075">
        <w:t>Samenvatting</w:t>
      </w:r>
      <w:r w:rsidR="00356075">
        <w:tab/>
      </w:r>
      <w:r w:rsidR="00356075">
        <w:fldChar w:fldCharType="begin"/>
      </w:r>
      <w:r w:rsidR="00356075">
        <w:instrText xml:space="preserve"> PAGEREF _Toc491268955 \h </w:instrText>
      </w:r>
      <w:r w:rsidR="00356075">
        <w:fldChar w:fldCharType="separate"/>
      </w:r>
      <w:r w:rsidR="00356075">
        <w:t>3</w:t>
      </w:r>
      <w:r w:rsidR="00356075">
        <w:fldChar w:fldCharType="end"/>
      </w:r>
    </w:p>
    <w:p w14:paraId="5EC0D4A9" w14:textId="269D7236" w:rsidR="00356075" w:rsidRDefault="00356075">
      <w:pPr>
        <w:pStyle w:val="TOC3"/>
        <w:rPr>
          <w:rFonts w:asciiTheme="minorHAnsi" w:eastAsiaTheme="minorEastAsia" w:hAnsiTheme="minorHAnsi" w:cstheme="minorBidi"/>
          <w:sz w:val="22"/>
          <w:szCs w:val="22"/>
        </w:rPr>
      </w:pPr>
      <w:r>
        <w:t xml:space="preserve">1.1 </w:t>
      </w:r>
      <w:r>
        <w:rPr>
          <w:rFonts w:asciiTheme="minorHAnsi" w:eastAsiaTheme="minorEastAsia" w:hAnsiTheme="minorHAnsi" w:cstheme="minorBidi"/>
          <w:sz w:val="22"/>
          <w:szCs w:val="22"/>
        </w:rPr>
        <w:tab/>
      </w:r>
      <w:r>
        <w:t>Institutionele aspecten en functioneren</w:t>
      </w:r>
      <w:r>
        <w:tab/>
      </w:r>
      <w:r>
        <w:fldChar w:fldCharType="begin"/>
      </w:r>
      <w:r>
        <w:instrText xml:space="preserve"> PAGEREF _Toc491268956 \h </w:instrText>
      </w:r>
      <w:r>
        <w:fldChar w:fldCharType="separate"/>
      </w:r>
      <w:r>
        <w:t>3</w:t>
      </w:r>
      <w:r>
        <w:fldChar w:fldCharType="end"/>
      </w:r>
    </w:p>
    <w:p w14:paraId="26AB3C7A" w14:textId="0E0E1E8C" w:rsidR="00356075" w:rsidRDefault="00356075">
      <w:pPr>
        <w:pStyle w:val="TOC3"/>
        <w:rPr>
          <w:rFonts w:asciiTheme="minorHAnsi" w:eastAsiaTheme="minorEastAsia" w:hAnsiTheme="minorHAnsi" w:cstheme="minorBidi"/>
          <w:sz w:val="22"/>
          <w:szCs w:val="22"/>
        </w:rPr>
      </w:pPr>
      <w:r>
        <w:t xml:space="preserve">1.2 </w:t>
      </w:r>
      <w:r>
        <w:rPr>
          <w:rFonts w:asciiTheme="minorHAnsi" w:eastAsiaTheme="minorEastAsia" w:hAnsiTheme="minorHAnsi" w:cstheme="minorBidi"/>
          <w:sz w:val="22"/>
          <w:szCs w:val="22"/>
        </w:rPr>
        <w:tab/>
      </w:r>
      <w:r>
        <w:t>Beleidsrelevantie</w:t>
      </w:r>
      <w:r>
        <w:tab/>
      </w:r>
      <w:r>
        <w:fldChar w:fldCharType="begin"/>
      </w:r>
      <w:r>
        <w:instrText xml:space="preserve"> PAGEREF _Toc491268957 \h </w:instrText>
      </w:r>
      <w:r>
        <w:fldChar w:fldCharType="separate"/>
      </w:r>
      <w:r>
        <w:t>3</w:t>
      </w:r>
      <w:r>
        <w:fldChar w:fldCharType="end"/>
      </w:r>
    </w:p>
    <w:p w14:paraId="123BC913" w14:textId="708A5CA7" w:rsidR="00356075" w:rsidRDefault="00356075">
      <w:pPr>
        <w:pStyle w:val="TOC2"/>
        <w:rPr>
          <w:rFonts w:asciiTheme="minorHAnsi" w:eastAsiaTheme="minorEastAsia" w:hAnsiTheme="minorHAnsi" w:cstheme="minorBidi"/>
          <w:b w:val="0"/>
          <w:sz w:val="22"/>
          <w:szCs w:val="22"/>
        </w:rPr>
      </w:pPr>
      <w:r>
        <w:t xml:space="preserve">2 </w:t>
      </w:r>
      <w:r>
        <w:rPr>
          <w:rFonts w:asciiTheme="minorHAnsi" w:eastAsiaTheme="minorEastAsia" w:hAnsiTheme="minorHAnsi" w:cstheme="minorBidi"/>
          <w:b w:val="0"/>
          <w:sz w:val="22"/>
          <w:szCs w:val="22"/>
        </w:rPr>
        <w:tab/>
      </w:r>
      <w:r>
        <w:t>Inleiding</w:t>
      </w:r>
      <w:r>
        <w:tab/>
      </w:r>
      <w:r>
        <w:fldChar w:fldCharType="begin"/>
      </w:r>
      <w:r>
        <w:instrText xml:space="preserve"> PAGEREF _Toc491268958 \h </w:instrText>
      </w:r>
      <w:r>
        <w:fldChar w:fldCharType="separate"/>
      </w:r>
      <w:r>
        <w:t>5</w:t>
      </w:r>
      <w:r>
        <w:fldChar w:fldCharType="end"/>
      </w:r>
    </w:p>
    <w:p w14:paraId="1A9D8C96" w14:textId="30854ED5" w:rsidR="00356075" w:rsidRDefault="00356075">
      <w:pPr>
        <w:pStyle w:val="TOC2"/>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Algemene achtergrond</w:t>
      </w:r>
      <w:r>
        <w:tab/>
      </w:r>
      <w:r>
        <w:fldChar w:fldCharType="begin"/>
      </w:r>
      <w:r>
        <w:instrText xml:space="preserve"> PAGEREF _Toc491268959 \h </w:instrText>
      </w:r>
      <w:r>
        <w:fldChar w:fldCharType="separate"/>
      </w:r>
      <w:r>
        <w:t>6</w:t>
      </w:r>
      <w:r>
        <w:fldChar w:fldCharType="end"/>
      </w:r>
    </w:p>
    <w:p w14:paraId="29271030" w14:textId="3EF074CC" w:rsidR="00356075" w:rsidRDefault="00356075">
      <w:pPr>
        <w:pStyle w:val="TOC3"/>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Doelstelling en toegevoegde waarde</w:t>
      </w:r>
      <w:r>
        <w:tab/>
      </w:r>
      <w:r>
        <w:fldChar w:fldCharType="begin"/>
      </w:r>
      <w:r>
        <w:instrText xml:space="preserve"> PAGEREF _Toc491268960 \h </w:instrText>
      </w:r>
      <w:r>
        <w:fldChar w:fldCharType="separate"/>
      </w:r>
      <w:r>
        <w:t>6</w:t>
      </w:r>
      <w:r>
        <w:fldChar w:fldCharType="end"/>
      </w:r>
    </w:p>
    <w:p w14:paraId="5AA4D608" w14:textId="2613F179" w:rsidR="00356075" w:rsidRDefault="00356075">
      <w:pPr>
        <w:pStyle w:val="TOC3"/>
        <w:rPr>
          <w:rFonts w:asciiTheme="minorHAnsi" w:eastAsiaTheme="minorEastAsia" w:hAnsiTheme="minorHAnsi" w:cstheme="minorBidi"/>
          <w:sz w:val="22"/>
          <w:szCs w:val="22"/>
        </w:rPr>
      </w:pPr>
      <w:r>
        <w:t xml:space="preserve">3.3 </w:t>
      </w:r>
      <w:r>
        <w:rPr>
          <w:rFonts w:asciiTheme="minorHAnsi" w:eastAsiaTheme="minorEastAsia" w:hAnsiTheme="minorHAnsi" w:cstheme="minorBidi"/>
          <w:sz w:val="22"/>
          <w:szCs w:val="22"/>
        </w:rPr>
        <w:tab/>
      </w:r>
      <w:r>
        <w:t>Nederlandse rol en invloed</w:t>
      </w:r>
      <w:r>
        <w:tab/>
      </w:r>
      <w:r>
        <w:fldChar w:fldCharType="begin"/>
      </w:r>
      <w:r>
        <w:instrText xml:space="preserve"> PAGEREF _Toc491268961 \h </w:instrText>
      </w:r>
      <w:r>
        <w:fldChar w:fldCharType="separate"/>
      </w:r>
      <w:r>
        <w:t>7</w:t>
      </w:r>
      <w:r>
        <w:fldChar w:fldCharType="end"/>
      </w:r>
    </w:p>
    <w:p w14:paraId="00B3CD86" w14:textId="2AD1BAFB" w:rsidR="00356075" w:rsidRDefault="00356075">
      <w:pPr>
        <w:pStyle w:val="TOC3"/>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Financiële omvang en bijdragen</w:t>
      </w:r>
      <w:r>
        <w:tab/>
      </w:r>
      <w:r>
        <w:fldChar w:fldCharType="begin"/>
      </w:r>
      <w:r>
        <w:instrText xml:space="preserve"> PAGEREF _Toc491268962 \h </w:instrText>
      </w:r>
      <w:r>
        <w:fldChar w:fldCharType="separate"/>
      </w:r>
      <w:r>
        <w:t>7</w:t>
      </w:r>
      <w:r>
        <w:fldChar w:fldCharType="end"/>
      </w:r>
    </w:p>
    <w:p w14:paraId="0CE02E47" w14:textId="5822F719" w:rsidR="00356075" w:rsidRDefault="00356075">
      <w:pPr>
        <w:pStyle w:val="TOC2"/>
        <w:rPr>
          <w:rFonts w:asciiTheme="minorHAnsi" w:eastAsiaTheme="minorEastAsia" w:hAnsiTheme="minorHAnsi" w:cstheme="minorBidi"/>
          <w:b w:val="0"/>
          <w:sz w:val="22"/>
          <w:szCs w:val="22"/>
        </w:rPr>
      </w:pPr>
      <w:r>
        <w:t xml:space="preserve">4 </w:t>
      </w:r>
      <w:r>
        <w:rPr>
          <w:rFonts w:asciiTheme="minorHAnsi" w:eastAsiaTheme="minorEastAsia" w:hAnsiTheme="minorHAnsi" w:cstheme="minorBidi"/>
          <w:b w:val="0"/>
          <w:sz w:val="22"/>
          <w:szCs w:val="22"/>
        </w:rPr>
        <w:tab/>
      </w:r>
      <w:r>
        <w:t>Institutionele aspecten en functioneren van de organisatie</w:t>
      </w:r>
      <w:r>
        <w:tab/>
      </w:r>
      <w:r>
        <w:fldChar w:fldCharType="begin"/>
      </w:r>
      <w:r>
        <w:instrText xml:space="preserve"> PAGEREF _Toc491268963 \h </w:instrText>
      </w:r>
      <w:r>
        <w:fldChar w:fldCharType="separate"/>
      </w:r>
      <w:r>
        <w:t>10</w:t>
      </w:r>
      <w:r>
        <w:fldChar w:fldCharType="end"/>
      </w:r>
    </w:p>
    <w:p w14:paraId="0F5C0DCC" w14:textId="159EF8C9" w:rsidR="00356075" w:rsidRDefault="00356075">
      <w:pPr>
        <w:pStyle w:val="TOC3"/>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Strategie en verantwoording</w:t>
      </w:r>
      <w:r>
        <w:tab/>
      </w:r>
      <w:r>
        <w:fldChar w:fldCharType="begin"/>
      </w:r>
      <w:r>
        <w:instrText xml:space="preserve"> PAGEREF _Toc491268964 \h </w:instrText>
      </w:r>
      <w:r>
        <w:fldChar w:fldCharType="separate"/>
      </w:r>
      <w:r>
        <w:t>10</w:t>
      </w:r>
      <w:r>
        <w:fldChar w:fldCharType="end"/>
      </w:r>
    </w:p>
    <w:p w14:paraId="598A0C55" w14:textId="2D7BCA9A" w:rsidR="00356075" w:rsidRDefault="00356075">
      <w:pPr>
        <w:pStyle w:val="TOC3"/>
        <w:rPr>
          <w:rFonts w:asciiTheme="minorHAnsi" w:eastAsiaTheme="minorEastAsia" w:hAnsiTheme="minorHAnsi" w:cstheme="minorBidi"/>
          <w:sz w:val="22"/>
          <w:szCs w:val="22"/>
        </w:rPr>
      </w:pPr>
      <w:r w:rsidRPr="00356075">
        <w:t>4.2</w:t>
      </w:r>
      <w:r>
        <w:rPr>
          <w:rFonts w:asciiTheme="minorHAnsi" w:eastAsiaTheme="minorEastAsia" w:hAnsiTheme="minorHAnsi" w:cstheme="minorBidi"/>
          <w:sz w:val="22"/>
          <w:szCs w:val="22"/>
        </w:rPr>
        <w:tab/>
      </w:r>
      <w:r w:rsidRPr="00356075">
        <w:t>Resultaatgerichtheid en transparantie</w:t>
      </w:r>
      <w:r>
        <w:tab/>
      </w:r>
      <w:r>
        <w:fldChar w:fldCharType="begin"/>
      </w:r>
      <w:r>
        <w:instrText xml:space="preserve"> PAGEREF _Toc491268965 \h </w:instrText>
      </w:r>
      <w:r>
        <w:fldChar w:fldCharType="separate"/>
      </w:r>
      <w:r>
        <w:t>11</w:t>
      </w:r>
      <w:r>
        <w:fldChar w:fldCharType="end"/>
      </w:r>
    </w:p>
    <w:p w14:paraId="20080A6F" w14:textId="65C1F2A4" w:rsidR="00356075" w:rsidRDefault="00356075">
      <w:pPr>
        <w:pStyle w:val="TOC3"/>
        <w:rPr>
          <w:rFonts w:asciiTheme="minorHAnsi" w:eastAsiaTheme="minorEastAsia" w:hAnsiTheme="minorHAnsi" w:cstheme="minorBidi"/>
          <w:sz w:val="22"/>
          <w:szCs w:val="22"/>
        </w:rPr>
      </w:pPr>
      <w:r w:rsidRPr="00356075">
        <w:t>4.3</w:t>
      </w:r>
      <w:r>
        <w:rPr>
          <w:rFonts w:asciiTheme="minorHAnsi" w:eastAsiaTheme="minorEastAsia" w:hAnsiTheme="minorHAnsi" w:cstheme="minorBidi"/>
          <w:sz w:val="22"/>
          <w:szCs w:val="22"/>
        </w:rPr>
        <w:tab/>
      </w:r>
      <w:r>
        <w:t>Partnerschappen en samenwerking</w:t>
      </w:r>
      <w:r>
        <w:tab/>
      </w:r>
      <w:r>
        <w:fldChar w:fldCharType="begin"/>
      </w:r>
      <w:r>
        <w:instrText xml:space="preserve"> PAGEREF _Toc491268966 \h </w:instrText>
      </w:r>
      <w:r>
        <w:fldChar w:fldCharType="separate"/>
      </w:r>
      <w:r>
        <w:t>12</w:t>
      </w:r>
      <w:r>
        <w:fldChar w:fldCharType="end"/>
      </w:r>
    </w:p>
    <w:p w14:paraId="6F85158B" w14:textId="61F393C0" w:rsidR="00356075" w:rsidRDefault="00356075">
      <w:pPr>
        <w:pStyle w:val="TOC3"/>
        <w:rPr>
          <w:rFonts w:asciiTheme="minorHAnsi" w:eastAsiaTheme="minorEastAsia" w:hAnsiTheme="minorHAnsi" w:cstheme="minorBidi"/>
          <w:sz w:val="22"/>
          <w:szCs w:val="22"/>
        </w:rPr>
      </w:pPr>
      <w:r>
        <w:t xml:space="preserve">4.4 </w:t>
      </w:r>
      <w:r>
        <w:rPr>
          <w:rFonts w:asciiTheme="minorHAnsi" w:eastAsiaTheme="minorEastAsia" w:hAnsiTheme="minorHAnsi" w:cstheme="minorBidi"/>
          <w:sz w:val="22"/>
          <w:szCs w:val="22"/>
        </w:rPr>
        <w:tab/>
      </w:r>
      <w:r>
        <w:t>Operationeel management</w:t>
      </w:r>
      <w:r>
        <w:tab/>
      </w:r>
      <w:r>
        <w:fldChar w:fldCharType="begin"/>
      </w:r>
      <w:r>
        <w:instrText xml:space="preserve"> PAGEREF _Toc491268967 \h </w:instrText>
      </w:r>
      <w:r>
        <w:fldChar w:fldCharType="separate"/>
      </w:r>
      <w:r>
        <w:t>13</w:t>
      </w:r>
      <w:r>
        <w:fldChar w:fldCharType="end"/>
      </w:r>
    </w:p>
    <w:p w14:paraId="5F9871CD" w14:textId="7923640D" w:rsidR="00356075" w:rsidRDefault="00356075">
      <w:pPr>
        <w:pStyle w:val="TOC3"/>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Beleidsevaluatie</w:t>
      </w:r>
      <w:r>
        <w:tab/>
      </w:r>
      <w:r>
        <w:fldChar w:fldCharType="begin"/>
      </w:r>
      <w:r>
        <w:instrText xml:space="preserve"> PAGEREF _Toc491268968 \h </w:instrText>
      </w:r>
      <w:r>
        <w:fldChar w:fldCharType="separate"/>
      </w:r>
      <w:r>
        <w:t>14</w:t>
      </w:r>
      <w:r>
        <w:fldChar w:fldCharType="end"/>
      </w:r>
    </w:p>
    <w:p w14:paraId="7652AC7F" w14:textId="7F2B8ED3" w:rsidR="00356075" w:rsidRDefault="00356075">
      <w:pPr>
        <w:pStyle w:val="TOC3"/>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Human Resource Management</w:t>
      </w:r>
      <w:r>
        <w:tab/>
      </w:r>
      <w:r>
        <w:fldChar w:fldCharType="begin"/>
      </w:r>
      <w:r>
        <w:instrText xml:space="preserve"> PAGEREF _Toc491268969 \h </w:instrText>
      </w:r>
      <w:r>
        <w:fldChar w:fldCharType="separate"/>
      </w:r>
      <w:r>
        <w:t>14</w:t>
      </w:r>
      <w:r>
        <w:fldChar w:fldCharType="end"/>
      </w:r>
    </w:p>
    <w:p w14:paraId="5CB07AF9" w14:textId="5C07B417" w:rsidR="00356075" w:rsidRDefault="00356075">
      <w:pPr>
        <w:pStyle w:val="TOC3"/>
        <w:rPr>
          <w:rFonts w:asciiTheme="minorHAnsi" w:eastAsiaTheme="minorEastAsia" w:hAnsiTheme="minorHAnsi" w:cstheme="minorBidi"/>
          <w:sz w:val="22"/>
          <w:szCs w:val="22"/>
        </w:rPr>
      </w:pPr>
      <w:r>
        <w:t xml:space="preserve">4.7 </w:t>
      </w:r>
      <w:r>
        <w:rPr>
          <w:rFonts w:asciiTheme="minorHAnsi" w:eastAsiaTheme="minorEastAsia" w:hAnsiTheme="minorHAnsi" w:cstheme="minorBidi"/>
          <w:sz w:val="22"/>
          <w:szCs w:val="22"/>
        </w:rPr>
        <w:tab/>
      </w:r>
      <w:r>
        <w:t>Financiële stabiliteit</w:t>
      </w:r>
      <w:r>
        <w:tab/>
      </w:r>
      <w:r>
        <w:fldChar w:fldCharType="begin"/>
      </w:r>
      <w:r>
        <w:instrText xml:space="preserve"> PAGEREF _Toc491268970 \h </w:instrText>
      </w:r>
      <w:r>
        <w:fldChar w:fldCharType="separate"/>
      </w:r>
      <w:r>
        <w:t>15</w:t>
      </w:r>
      <w:r>
        <w:fldChar w:fldCharType="end"/>
      </w:r>
    </w:p>
    <w:p w14:paraId="796A7F97" w14:textId="01A1BDBF" w:rsidR="00356075" w:rsidRDefault="00356075">
      <w:pPr>
        <w:pStyle w:val="TOC3"/>
        <w:rPr>
          <w:rFonts w:asciiTheme="minorHAnsi" w:eastAsiaTheme="minorEastAsia" w:hAnsiTheme="minorHAnsi" w:cstheme="minorBidi"/>
          <w:sz w:val="22"/>
          <w:szCs w:val="22"/>
        </w:rPr>
      </w:pPr>
      <w:r>
        <w:t xml:space="preserve">4.8 </w:t>
      </w:r>
      <w:r>
        <w:rPr>
          <w:rFonts w:asciiTheme="minorHAnsi" w:eastAsiaTheme="minorEastAsia" w:hAnsiTheme="minorHAnsi" w:cstheme="minorBidi"/>
          <w:sz w:val="22"/>
          <w:szCs w:val="22"/>
        </w:rPr>
        <w:tab/>
      </w:r>
      <w:r>
        <w:t>Kostenreductie</w:t>
      </w:r>
      <w:r>
        <w:tab/>
      </w:r>
      <w:r>
        <w:fldChar w:fldCharType="begin"/>
      </w:r>
      <w:r>
        <w:instrText xml:space="preserve"> PAGEREF _Toc491268971 \h </w:instrText>
      </w:r>
      <w:r>
        <w:fldChar w:fldCharType="separate"/>
      </w:r>
      <w:r>
        <w:t>16</w:t>
      </w:r>
      <w:r>
        <w:fldChar w:fldCharType="end"/>
      </w:r>
    </w:p>
    <w:p w14:paraId="05ADBB98" w14:textId="7491F2CF" w:rsidR="00356075" w:rsidRDefault="00356075">
      <w:pPr>
        <w:pStyle w:val="TOC3"/>
        <w:rPr>
          <w:rFonts w:asciiTheme="minorHAnsi" w:eastAsiaTheme="minorEastAsia" w:hAnsiTheme="minorHAnsi" w:cstheme="minorBidi"/>
          <w:sz w:val="22"/>
          <w:szCs w:val="22"/>
        </w:rPr>
      </w:pPr>
      <w:r>
        <w:t xml:space="preserve">4.9 </w:t>
      </w:r>
      <w:r>
        <w:rPr>
          <w:rFonts w:asciiTheme="minorHAnsi" w:eastAsiaTheme="minorEastAsia" w:hAnsiTheme="minorHAnsi" w:cstheme="minorBidi"/>
          <w:sz w:val="22"/>
          <w:szCs w:val="22"/>
        </w:rPr>
        <w:tab/>
      </w:r>
      <w:r>
        <w:t>Corruptiebestrijding</w:t>
      </w:r>
      <w:r>
        <w:tab/>
      </w:r>
      <w:r>
        <w:fldChar w:fldCharType="begin"/>
      </w:r>
      <w:r>
        <w:instrText xml:space="preserve"> PAGEREF _Toc491268972 \h </w:instrText>
      </w:r>
      <w:r>
        <w:fldChar w:fldCharType="separate"/>
      </w:r>
      <w:r>
        <w:t>17</w:t>
      </w:r>
      <w:r>
        <w:fldChar w:fldCharType="end"/>
      </w:r>
    </w:p>
    <w:p w14:paraId="750273E2" w14:textId="2412D7B6" w:rsidR="00356075" w:rsidRDefault="00356075">
      <w:pPr>
        <w:pStyle w:val="TOC2"/>
        <w:rPr>
          <w:rFonts w:asciiTheme="minorHAnsi" w:eastAsiaTheme="minorEastAsia" w:hAnsiTheme="minorHAnsi" w:cstheme="minorBidi"/>
          <w:b w:val="0"/>
          <w:sz w:val="22"/>
          <w:szCs w:val="22"/>
        </w:rPr>
      </w:pPr>
      <w:r>
        <w:t xml:space="preserve">5 </w:t>
      </w:r>
      <w:r>
        <w:rPr>
          <w:rFonts w:asciiTheme="minorHAnsi" w:eastAsiaTheme="minorEastAsia" w:hAnsiTheme="minorHAnsi" w:cstheme="minorBidi"/>
          <w:b w:val="0"/>
          <w:sz w:val="22"/>
          <w:szCs w:val="22"/>
        </w:rPr>
        <w:tab/>
      </w:r>
      <w:r>
        <w:t>Relevantie van de organisatie</w:t>
      </w:r>
      <w:r>
        <w:tab/>
      </w:r>
      <w:r>
        <w:fldChar w:fldCharType="begin"/>
      </w:r>
      <w:r>
        <w:instrText xml:space="preserve"> PAGEREF _Toc491268973 \h </w:instrText>
      </w:r>
      <w:r>
        <w:fldChar w:fldCharType="separate"/>
      </w:r>
      <w:r>
        <w:t>19</w:t>
      </w:r>
      <w:r>
        <w:fldChar w:fldCharType="end"/>
      </w:r>
    </w:p>
    <w:p w14:paraId="7A2491BF" w14:textId="65311C62" w:rsidR="00356075" w:rsidRDefault="00356075">
      <w:pPr>
        <w:pStyle w:val="TOC3"/>
        <w:rPr>
          <w:rFonts w:asciiTheme="minorHAnsi" w:eastAsiaTheme="minorEastAsia" w:hAnsiTheme="minorHAnsi" w:cstheme="minorBidi"/>
          <w:sz w:val="22"/>
          <w:szCs w:val="22"/>
        </w:rPr>
      </w:pPr>
      <w:r>
        <w:t xml:space="preserve">5.1 </w:t>
      </w:r>
      <w:r>
        <w:rPr>
          <w:rFonts w:asciiTheme="minorHAnsi" w:eastAsiaTheme="minorEastAsia" w:hAnsiTheme="minorHAnsi" w:cstheme="minorBidi"/>
          <w:sz w:val="22"/>
          <w:szCs w:val="22"/>
        </w:rPr>
        <w:tab/>
      </w:r>
      <w:r>
        <w:t>Relevantie voor Nederlandse BHOS-prioriteiten</w:t>
      </w:r>
      <w:r>
        <w:tab/>
      </w:r>
      <w:r>
        <w:fldChar w:fldCharType="begin"/>
      </w:r>
      <w:r>
        <w:instrText xml:space="preserve"> PAGEREF _Toc491268974 \h </w:instrText>
      </w:r>
      <w:r>
        <w:fldChar w:fldCharType="separate"/>
      </w:r>
      <w:r>
        <w:t>19</w:t>
      </w:r>
      <w:r>
        <w:fldChar w:fldCharType="end"/>
      </w:r>
    </w:p>
    <w:p w14:paraId="67F834E9" w14:textId="07069BC4" w:rsidR="00356075" w:rsidRDefault="00356075">
      <w:pPr>
        <w:pStyle w:val="TOC3"/>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Overige relevantie</w:t>
      </w:r>
      <w:r>
        <w:tab/>
      </w:r>
      <w:r>
        <w:fldChar w:fldCharType="begin"/>
      </w:r>
      <w:r>
        <w:instrText xml:space="preserve"> PAGEREF _Toc491268975 \h </w:instrText>
      </w:r>
      <w:r>
        <w:fldChar w:fldCharType="separate"/>
      </w:r>
      <w:r>
        <w:t>20</w:t>
      </w:r>
      <w:r>
        <w:fldChar w:fldCharType="end"/>
      </w:r>
    </w:p>
    <w:p w14:paraId="7246D2B4" w14:textId="21E0C3DF" w:rsidR="00261F77" w:rsidRPr="00290657" w:rsidRDefault="00F808F3" w:rsidP="0014161D">
      <w:pPr>
        <w:pStyle w:val="TOC3"/>
        <w:rPr>
          <w:rFonts w:ascii="Calibri" w:hAnsi="Calibri"/>
          <w:sz w:val="22"/>
          <w:szCs w:val="22"/>
        </w:rPr>
      </w:pPr>
      <w:r w:rsidRPr="00785F18">
        <w:fldChar w:fldCharType="end"/>
      </w:r>
    </w:p>
    <w:p w14:paraId="7246D2B5" w14:textId="77777777" w:rsidR="00101F98" w:rsidRPr="00785F18" w:rsidRDefault="00101F98" w:rsidP="00163FA2">
      <w:pPr>
        <w:tabs>
          <w:tab w:val="left" w:pos="0"/>
        </w:tabs>
      </w:pPr>
    </w:p>
    <w:p w14:paraId="7246D2B6" w14:textId="77777777" w:rsidR="00A908F9" w:rsidRDefault="00A908F9" w:rsidP="00101F98"/>
    <w:p w14:paraId="7246D2B7" w14:textId="77777777" w:rsidR="00A908F9" w:rsidRPr="00A908F9" w:rsidRDefault="00A908F9" w:rsidP="00A908F9"/>
    <w:p w14:paraId="7246D2B8" w14:textId="77777777" w:rsidR="00A908F9" w:rsidRPr="00A908F9" w:rsidRDefault="00A908F9" w:rsidP="00A908F9"/>
    <w:p w14:paraId="7246D2B9" w14:textId="77777777" w:rsidR="00A908F9" w:rsidRDefault="00A908F9" w:rsidP="00A908F9">
      <w:pPr>
        <w:jc w:val="center"/>
      </w:pPr>
    </w:p>
    <w:p w14:paraId="7246D2BA" w14:textId="77777777" w:rsidR="00101F98" w:rsidRPr="00A908F9" w:rsidRDefault="00101F98" w:rsidP="00A908F9">
      <w:pPr>
        <w:sectPr w:rsidR="00101F98" w:rsidRPr="00A908F9" w:rsidSect="00EE1B9E">
          <w:headerReference w:type="default" r:id="rId13"/>
          <w:footerReference w:type="default" r:id="rId14"/>
          <w:headerReference w:type="first" r:id="rId15"/>
          <w:type w:val="continuous"/>
          <w:pgSz w:w="11906" w:h="16838" w:code="9"/>
          <w:pgMar w:top="2520" w:right="960" w:bottom="1080" w:left="3220" w:header="200" w:footer="660" w:gutter="0"/>
          <w:cols w:space="708"/>
          <w:titlePg/>
          <w:docGrid w:linePitch="360"/>
        </w:sectPr>
      </w:pPr>
    </w:p>
    <w:p w14:paraId="4F47B89C" w14:textId="523D3EC5" w:rsidR="00364628" w:rsidRDefault="00096F6B" w:rsidP="00364628">
      <w:pPr>
        <w:pStyle w:val="Heading1"/>
        <w:tabs>
          <w:tab w:val="num" w:pos="0"/>
        </w:tabs>
        <w:spacing w:after="240" w:line="240" w:lineRule="auto"/>
        <w:ind w:hanging="1162"/>
      </w:pPr>
      <w:bookmarkStart w:id="8" w:name="_Toc238533654"/>
      <w:bookmarkStart w:id="9" w:name="_Toc238537583"/>
      <w:bookmarkStart w:id="10" w:name="_Toc238538136"/>
      <w:bookmarkStart w:id="11" w:name="_Toc238538151"/>
      <w:bookmarkStart w:id="12" w:name="_Toc410397639"/>
      <w:bookmarkStart w:id="13" w:name="_Toc491268955"/>
      <w:bookmarkEnd w:id="8"/>
      <w:bookmarkEnd w:id="9"/>
      <w:bookmarkEnd w:id="10"/>
      <w:bookmarkEnd w:id="11"/>
      <w:r>
        <w:lastRenderedPageBreak/>
        <w:t>1</w:t>
      </w:r>
      <w:r w:rsidR="00364628">
        <w:tab/>
      </w:r>
      <w:bookmarkEnd w:id="12"/>
      <w:r w:rsidR="00F02A89">
        <w:t>Samenvatting</w:t>
      </w:r>
      <w:bookmarkEnd w:id="13"/>
    </w:p>
    <w:p w14:paraId="02104E40" w14:textId="527004B5" w:rsidR="00096F6B" w:rsidRDefault="00096F6B" w:rsidP="00096F6B">
      <w:pPr>
        <w:pStyle w:val="Heading2"/>
        <w:tabs>
          <w:tab w:val="left" w:pos="-1162"/>
          <w:tab w:val="left" w:pos="0"/>
          <w:tab w:val="num" w:pos="1160"/>
        </w:tabs>
        <w:spacing w:line="240" w:lineRule="auto"/>
        <w:ind w:hanging="1162"/>
      </w:pPr>
      <w:bookmarkStart w:id="14" w:name="_Toc491268956"/>
      <w:r>
        <w:t xml:space="preserve">1.1 </w:t>
      </w:r>
      <w:r>
        <w:tab/>
        <w:t>Institutionele aspecten en functioneren</w:t>
      </w:r>
      <w:bookmarkEnd w:id="14"/>
    </w:p>
    <w:p w14:paraId="4696A48C" w14:textId="77777777" w:rsidR="00096F6B" w:rsidRDefault="00096F6B" w:rsidP="00096F6B">
      <w:r>
        <w:t>UNDP is de centrale en coördinerende organisatie in het VN (ontwikkelings)systeem en wordt gewaardeerd vanwege zijn vermogen om verschillende partners bij elkaar te brengen. Het ontwikkelingsmandaat van UNDP is breed, waarbij UNDP in de uitvoering op moet passen niet te wijd verspreid te raken. Hierbij moet worden opgemerkt dat dit voor een deel door donoren wordt gedreven, die veel projecten geoormerkt financieren. Via het huidige Strategische Plan (2014-2017), dat beperkt is tot slechts 7 resultaatgebieden en een strakkere, meer gefocuste aansturing van de landenkantoren probeert UNDP versplintering tegen te gaan. Hoewel UNDP in toenemende mate aandacht besteed aan resultaatgericht management en de organisatie financieel gezond is, blijft de interne kostenefficiëntie een serieus punt van zorg. UNDP is als een olietanker, die maar langzaam bij te sturen is. Door het politieke speelveld in New York is het vaak moeilijk om als Westerse donoren de organisatie een duw in de goede richting te geven.</w:t>
      </w:r>
    </w:p>
    <w:p w14:paraId="1C336AA7" w14:textId="77777777" w:rsidR="00096F6B" w:rsidRDefault="00096F6B" w:rsidP="00096F6B"/>
    <w:tbl>
      <w:tblPr>
        <w:tblW w:w="7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4"/>
        <w:gridCol w:w="851"/>
        <w:gridCol w:w="1606"/>
      </w:tblGrid>
      <w:tr w:rsidR="00096F6B" w14:paraId="2E2C9B6C" w14:textId="77777777" w:rsidTr="00F707AC">
        <w:tc>
          <w:tcPr>
            <w:tcW w:w="4744" w:type="dxa"/>
            <w:tcBorders>
              <w:top w:val="single" w:sz="12" w:space="0" w:color="auto"/>
              <w:left w:val="single" w:sz="12" w:space="0" w:color="auto"/>
              <w:bottom w:val="single" w:sz="12" w:space="0" w:color="auto"/>
            </w:tcBorders>
            <w:shd w:val="clear" w:color="auto" w:fill="BFBFBF" w:themeFill="background1" w:themeFillShade="BF"/>
          </w:tcPr>
          <w:p w14:paraId="7B8F4056" w14:textId="77777777" w:rsidR="00096F6B" w:rsidRPr="006B230E" w:rsidRDefault="00096F6B" w:rsidP="00C9064D">
            <w:pPr>
              <w:rPr>
                <w:b/>
              </w:rPr>
            </w:pPr>
            <w:r w:rsidRPr="006B230E">
              <w:rPr>
                <w:b/>
              </w:rPr>
              <w:t>Institutionele aspecten en functioneren</w:t>
            </w:r>
          </w:p>
        </w:tc>
        <w:tc>
          <w:tcPr>
            <w:tcW w:w="851" w:type="dxa"/>
            <w:tcBorders>
              <w:top w:val="single" w:sz="12" w:space="0" w:color="auto"/>
              <w:bottom w:val="single" w:sz="12" w:space="0" w:color="auto"/>
            </w:tcBorders>
            <w:shd w:val="clear" w:color="auto" w:fill="BFBFBF" w:themeFill="background1" w:themeFillShade="BF"/>
          </w:tcPr>
          <w:p w14:paraId="41A421DF" w14:textId="77777777" w:rsidR="00096F6B" w:rsidRPr="006B230E" w:rsidRDefault="00096F6B" w:rsidP="00C9064D">
            <w:pPr>
              <w:rPr>
                <w:b/>
              </w:rPr>
            </w:pPr>
            <w:r w:rsidRPr="006B230E">
              <w:rPr>
                <w:b/>
              </w:rPr>
              <w:t>Score</w:t>
            </w:r>
          </w:p>
        </w:tc>
        <w:tc>
          <w:tcPr>
            <w:tcW w:w="1606" w:type="dxa"/>
            <w:tcBorders>
              <w:top w:val="single" w:sz="12" w:space="0" w:color="auto"/>
              <w:bottom w:val="single" w:sz="12" w:space="0" w:color="auto"/>
              <w:right w:val="single" w:sz="12" w:space="0" w:color="auto"/>
            </w:tcBorders>
            <w:shd w:val="clear" w:color="auto" w:fill="BFBFBF" w:themeFill="background1" w:themeFillShade="BF"/>
          </w:tcPr>
          <w:p w14:paraId="50B440F3" w14:textId="77777777" w:rsidR="00096F6B" w:rsidRPr="006B230E" w:rsidRDefault="00096F6B" w:rsidP="00C9064D">
            <w:pPr>
              <w:rPr>
                <w:b/>
              </w:rPr>
            </w:pPr>
            <w:r w:rsidRPr="006B230E">
              <w:rPr>
                <w:b/>
              </w:rPr>
              <w:t>Verandering</w:t>
            </w:r>
          </w:p>
        </w:tc>
      </w:tr>
      <w:tr w:rsidR="00096F6B" w14:paraId="2BF9EF51" w14:textId="77777777" w:rsidTr="00096F6B">
        <w:tc>
          <w:tcPr>
            <w:tcW w:w="4744" w:type="dxa"/>
            <w:tcBorders>
              <w:top w:val="single" w:sz="12" w:space="0" w:color="auto"/>
              <w:left w:val="single" w:sz="12" w:space="0" w:color="auto"/>
            </w:tcBorders>
            <w:shd w:val="clear" w:color="auto" w:fill="auto"/>
          </w:tcPr>
          <w:p w14:paraId="00533C5B" w14:textId="77777777" w:rsidR="00096F6B" w:rsidRPr="00C26035" w:rsidRDefault="00096F6B" w:rsidP="00C9064D">
            <w:r>
              <w:t>Strategie en verantwoording</w:t>
            </w:r>
            <w:r w:rsidRPr="00C26035">
              <w:t xml:space="preserve"> </w:t>
            </w:r>
          </w:p>
        </w:tc>
        <w:tc>
          <w:tcPr>
            <w:tcW w:w="851" w:type="dxa"/>
            <w:tcBorders>
              <w:top w:val="single" w:sz="12" w:space="0" w:color="auto"/>
            </w:tcBorders>
            <w:shd w:val="clear" w:color="auto" w:fill="auto"/>
            <w:vAlign w:val="center"/>
          </w:tcPr>
          <w:p w14:paraId="143F126E" w14:textId="77777777" w:rsidR="00096F6B" w:rsidRPr="00CB2019" w:rsidRDefault="00096F6B" w:rsidP="00C9064D">
            <w:pPr>
              <w:jc w:val="center"/>
            </w:pPr>
            <w:r w:rsidRPr="00CB2019">
              <w:t>3</w:t>
            </w:r>
          </w:p>
        </w:tc>
        <w:tc>
          <w:tcPr>
            <w:tcW w:w="1606" w:type="dxa"/>
            <w:tcBorders>
              <w:top w:val="single" w:sz="12" w:space="0" w:color="auto"/>
              <w:right w:val="single" w:sz="12" w:space="0" w:color="auto"/>
            </w:tcBorders>
            <w:shd w:val="clear" w:color="auto" w:fill="auto"/>
            <w:vAlign w:val="center"/>
          </w:tcPr>
          <w:p w14:paraId="52B2AF3F" w14:textId="77777777" w:rsidR="00096F6B" w:rsidRDefault="00096F6B" w:rsidP="00C9064D">
            <w:pPr>
              <w:jc w:val="center"/>
            </w:pPr>
            <w:r w:rsidRPr="00193994">
              <w:sym w:font="Wingdings" w:char="F0E8"/>
            </w:r>
          </w:p>
        </w:tc>
      </w:tr>
      <w:tr w:rsidR="00096F6B" w14:paraId="0898BB7A" w14:textId="77777777" w:rsidTr="00096F6B">
        <w:tc>
          <w:tcPr>
            <w:tcW w:w="4744" w:type="dxa"/>
            <w:tcBorders>
              <w:left w:val="single" w:sz="12" w:space="0" w:color="auto"/>
            </w:tcBorders>
            <w:shd w:val="clear" w:color="auto" w:fill="auto"/>
          </w:tcPr>
          <w:p w14:paraId="2E5EC3E7" w14:textId="77777777" w:rsidR="00096F6B" w:rsidRDefault="00096F6B" w:rsidP="00C9064D">
            <w:r>
              <w:t>Resultaatgerichtheid en transparantie</w:t>
            </w:r>
          </w:p>
        </w:tc>
        <w:tc>
          <w:tcPr>
            <w:tcW w:w="851" w:type="dxa"/>
            <w:shd w:val="clear" w:color="auto" w:fill="auto"/>
            <w:vAlign w:val="center"/>
          </w:tcPr>
          <w:p w14:paraId="048E47B8" w14:textId="77777777" w:rsidR="00096F6B" w:rsidRPr="00CB2019" w:rsidRDefault="00096F6B" w:rsidP="00C9064D">
            <w:pPr>
              <w:jc w:val="center"/>
            </w:pPr>
            <w:r w:rsidRPr="00CB2019">
              <w:t>3</w:t>
            </w:r>
          </w:p>
        </w:tc>
        <w:tc>
          <w:tcPr>
            <w:tcW w:w="1606" w:type="dxa"/>
            <w:tcBorders>
              <w:right w:val="single" w:sz="12" w:space="0" w:color="auto"/>
            </w:tcBorders>
            <w:shd w:val="clear" w:color="auto" w:fill="auto"/>
            <w:vAlign w:val="center"/>
          </w:tcPr>
          <w:p w14:paraId="6162064E" w14:textId="77777777" w:rsidR="00096F6B" w:rsidRDefault="00096F6B" w:rsidP="00C9064D">
            <w:pPr>
              <w:jc w:val="center"/>
            </w:pPr>
            <w:r w:rsidRPr="00193994">
              <w:sym w:font="Wingdings" w:char="F0E8"/>
            </w:r>
          </w:p>
        </w:tc>
      </w:tr>
      <w:tr w:rsidR="00096F6B" w14:paraId="0EE1CAAD" w14:textId="77777777" w:rsidTr="00096F6B">
        <w:tc>
          <w:tcPr>
            <w:tcW w:w="4744" w:type="dxa"/>
            <w:tcBorders>
              <w:left w:val="single" w:sz="12" w:space="0" w:color="auto"/>
            </w:tcBorders>
            <w:shd w:val="clear" w:color="auto" w:fill="auto"/>
          </w:tcPr>
          <w:p w14:paraId="665CE254" w14:textId="77777777" w:rsidR="00096F6B" w:rsidRDefault="00096F6B" w:rsidP="00C9064D">
            <w:r>
              <w:t>Partnerschappen</w:t>
            </w:r>
          </w:p>
        </w:tc>
        <w:tc>
          <w:tcPr>
            <w:tcW w:w="851" w:type="dxa"/>
            <w:shd w:val="clear" w:color="auto" w:fill="auto"/>
            <w:vAlign w:val="center"/>
          </w:tcPr>
          <w:p w14:paraId="14639466" w14:textId="77777777" w:rsidR="00096F6B" w:rsidRPr="00CB2019" w:rsidRDefault="00096F6B" w:rsidP="00C9064D">
            <w:pPr>
              <w:jc w:val="center"/>
            </w:pPr>
            <w:r w:rsidRPr="00CB2019">
              <w:t>2</w:t>
            </w:r>
          </w:p>
        </w:tc>
        <w:tc>
          <w:tcPr>
            <w:tcW w:w="1606" w:type="dxa"/>
            <w:tcBorders>
              <w:right w:val="single" w:sz="12" w:space="0" w:color="auto"/>
            </w:tcBorders>
            <w:shd w:val="clear" w:color="auto" w:fill="auto"/>
            <w:vAlign w:val="center"/>
          </w:tcPr>
          <w:p w14:paraId="4B40C567" w14:textId="77777777" w:rsidR="00096F6B" w:rsidRPr="00AE668D" w:rsidRDefault="00096F6B" w:rsidP="00C9064D">
            <w:pPr>
              <w:jc w:val="center"/>
            </w:pPr>
            <w:r w:rsidRPr="00AE668D">
              <w:rPr>
                <w:rFonts w:ascii="Segoe UI Emoji" w:eastAsia="Segoe UI Emoji" w:hAnsi="Segoe UI Emoji" w:cs="Segoe UI Emoji"/>
                <w:b/>
                <w:noProof/>
              </w:rPr>
              <w:sym w:font="Wingdings" w:char="F0EA"/>
            </w:r>
          </w:p>
        </w:tc>
      </w:tr>
      <w:tr w:rsidR="00096F6B" w14:paraId="5C190FD4" w14:textId="77777777" w:rsidTr="00096F6B">
        <w:tc>
          <w:tcPr>
            <w:tcW w:w="4744" w:type="dxa"/>
            <w:tcBorders>
              <w:left w:val="single" w:sz="12" w:space="0" w:color="auto"/>
            </w:tcBorders>
            <w:shd w:val="clear" w:color="auto" w:fill="auto"/>
          </w:tcPr>
          <w:p w14:paraId="0729028D" w14:textId="77777777" w:rsidR="00096F6B" w:rsidRPr="00C26035" w:rsidRDefault="00096F6B" w:rsidP="00C9064D">
            <w:r>
              <w:t>Operationeel management</w:t>
            </w:r>
          </w:p>
        </w:tc>
        <w:tc>
          <w:tcPr>
            <w:tcW w:w="851" w:type="dxa"/>
            <w:shd w:val="clear" w:color="auto" w:fill="auto"/>
            <w:vAlign w:val="center"/>
          </w:tcPr>
          <w:p w14:paraId="4B539B70" w14:textId="77777777" w:rsidR="00096F6B" w:rsidRPr="00CB2019" w:rsidRDefault="00096F6B" w:rsidP="00C9064D">
            <w:pPr>
              <w:jc w:val="center"/>
            </w:pPr>
            <w:r w:rsidRPr="00CB2019">
              <w:t>2</w:t>
            </w:r>
          </w:p>
        </w:tc>
        <w:tc>
          <w:tcPr>
            <w:tcW w:w="1606" w:type="dxa"/>
            <w:tcBorders>
              <w:right w:val="single" w:sz="12" w:space="0" w:color="auto"/>
            </w:tcBorders>
            <w:shd w:val="clear" w:color="auto" w:fill="auto"/>
            <w:vAlign w:val="center"/>
          </w:tcPr>
          <w:p w14:paraId="617EE4B6" w14:textId="77777777" w:rsidR="00096F6B" w:rsidRDefault="00096F6B" w:rsidP="00C9064D">
            <w:pPr>
              <w:jc w:val="center"/>
            </w:pPr>
            <w:r w:rsidRPr="00193994">
              <w:sym w:font="Wingdings" w:char="F0E8"/>
            </w:r>
          </w:p>
        </w:tc>
      </w:tr>
      <w:tr w:rsidR="00096F6B" w14:paraId="6DB401FB" w14:textId="77777777" w:rsidTr="00096F6B">
        <w:tc>
          <w:tcPr>
            <w:tcW w:w="4744" w:type="dxa"/>
            <w:tcBorders>
              <w:left w:val="single" w:sz="12" w:space="0" w:color="auto"/>
            </w:tcBorders>
            <w:shd w:val="clear" w:color="auto" w:fill="auto"/>
          </w:tcPr>
          <w:p w14:paraId="48811F91" w14:textId="77777777" w:rsidR="00096F6B" w:rsidRPr="00C26035" w:rsidRDefault="00096F6B" w:rsidP="00C9064D">
            <w:r>
              <w:t>Beleidsevaluatie</w:t>
            </w:r>
          </w:p>
        </w:tc>
        <w:tc>
          <w:tcPr>
            <w:tcW w:w="851" w:type="dxa"/>
            <w:shd w:val="clear" w:color="auto" w:fill="auto"/>
            <w:vAlign w:val="center"/>
          </w:tcPr>
          <w:p w14:paraId="1CA4D891" w14:textId="77777777" w:rsidR="00096F6B" w:rsidRPr="00CB2019" w:rsidRDefault="00096F6B" w:rsidP="00C9064D">
            <w:pPr>
              <w:jc w:val="center"/>
            </w:pPr>
            <w:r w:rsidRPr="00CB2019">
              <w:t>3</w:t>
            </w:r>
          </w:p>
        </w:tc>
        <w:tc>
          <w:tcPr>
            <w:tcW w:w="1606" w:type="dxa"/>
            <w:tcBorders>
              <w:right w:val="single" w:sz="12" w:space="0" w:color="auto"/>
            </w:tcBorders>
            <w:shd w:val="clear" w:color="auto" w:fill="auto"/>
            <w:vAlign w:val="center"/>
          </w:tcPr>
          <w:p w14:paraId="7B14F2D0" w14:textId="77777777" w:rsidR="00096F6B" w:rsidRDefault="00096F6B" w:rsidP="00C9064D">
            <w:pPr>
              <w:jc w:val="center"/>
            </w:pPr>
            <w:r w:rsidRPr="00193994">
              <w:sym w:font="Wingdings" w:char="F0E8"/>
            </w:r>
          </w:p>
        </w:tc>
      </w:tr>
      <w:tr w:rsidR="00096F6B" w14:paraId="3B509065" w14:textId="77777777" w:rsidTr="00096F6B">
        <w:tc>
          <w:tcPr>
            <w:tcW w:w="4744" w:type="dxa"/>
            <w:tcBorders>
              <w:left w:val="single" w:sz="12" w:space="0" w:color="auto"/>
            </w:tcBorders>
            <w:shd w:val="clear" w:color="auto" w:fill="auto"/>
          </w:tcPr>
          <w:p w14:paraId="2DBCF418" w14:textId="77777777" w:rsidR="00096F6B" w:rsidRPr="00C26035" w:rsidRDefault="00096F6B" w:rsidP="00C9064D">
            <w:r w:rsidRPr="00C26035">
              <w:t>Human Resource Management</w:t>
            </w:r>
          </w:p>
        </w:tc>
        <w:tc>
          <w:tcPr>
            <w:tcW w:w="851" w:type="dxa"/>
            <w:shd w:val="clear" w:color="auto" w:fill="auto"/>
            <w:vAlign w:val="center"/>
          </w:tcPr>
          <w:p w14:paraId="44ED0493" w14:textId="77777777" w:rsidR="00096F6B" w:rsidRPr="00CB2019" w:rsidRDefault="00096F6B" w:rsidP="00C9064D">
            <w:pPr>
              <w:jc w:val="center"/>
            </w:pPr>
            <w:r w:rsidRPr="00CB2019">
              <w:t>3</w:t>
            </w:r>
          </w:p>
        </w:tc>
        <w:tc>
          <w:tcPr>
            <w:tcW w:w="1606" w:type="dxa"/>
            <w:tcBorders>
              <w:right w:val="single" w:sz="12" w:space="0" w:color="auto"/>
            </w:tcBorders>
            <w:shd w:val="clear" w:color="auto" w:fill="auto"/>
            <w:vAlign w:val="center"/>
          </w:tcPr>
          <w:p w14:paraId="53D55CA9" w14:textId="77777777" w:rsidR="00096F6B" w:rsidRDefault="00096F6B" w:rsidP="00C9064D">
            <w:pPr>
              <w:jc w:val="center"/>
            </w:pPr>
            <w:r w:rsidRPr="00193994">
              <w:sym w:font="Wingdings" w:char="F0E8"/>
            </w:r>
          </w:p>
        </w:tc>
      </w:tr>
      <w:tr w:rsidR="00096F6B" w14:paraId="52254724" w14:textId="77777777" w:rsidTr="00096F6B">
        <w:tc>
          <w:tcPr>
            <w:tcW w:w="4744" w:type="dxa"/>
            <w:tcBorders>
              <w:left w:val="single" w:sz="12" w:space="0" w:color="auto"/>
            </w:tcBorders>
            <w:shd w:val="clear" w:color="auto" w:fill="auto"/>
          </w:tcPr>
          <w:p w14:paraId="1CC033BB" w14:textId="77777777" w:rsidR="00096F6B" w:rsidRPr="00445FEE" w:rsidRDefault="00096F6B" w:rsidP="00C9064D">
            <w:r w:rsidRPr="00445FEE">
              <w:t xml:space="preserve">Financiële </w:t>
            </w:r>
            <w:r>
              <w:t>stabiliteit</w:t>
            </w:r>
          </w:p>
        </w:tc>
        <w:tc>
          <w:tcPr>
            <w:tcW w:w="851" w:type="dxa"/>
            <w:shd w:val="clear" w:color="auto" w:fill="auto"/>
            <w:vAlign w:val="center"/>
          </w:tcPr>
          <w:p w14:paraId="148D59E3" w14:textId="77777777" w:rsidR="00096F6B" w:rsidRPr="00CB2019" w:rsidRDefault="00096F6B" w:rsidP="00C9064D">
            <w:pPr>
              <w:jc w:val="center"/>
            </w:pPr>
            <w:r w:rsidRPr="00CB2019">
              <w:t>3</w:t>
            </w:r>
          </w:p>
        </w:tc>
        <w:tc>
          <w:tcPr>
            <w:tcW w:w="1606" w:type="dxa"/>
            <w:tcBorders>
              <w:right w:val="single" w:sz="12" w:space="0" w:color="auto"/>
            </w:tcBorders>
            <w:shd w:val="clear" w:color="auto" w:fill="auto"/>
            <w:vAlign w:val="center"/>
          </w:tcPr>
          <w:p w14:paraId="0DBE21D9" w14:textId="77777777" w:rsidR="00096F6B" w:rsidRDefault="00096F6B" w:rsidP="00C9064D">
            <w:pPr>
              <w:jc w:val="center"/>
            </w:pPr>
            <w:r w:rsidRPr="00193994">
              <w:sym w:font="Wingdings" w:char="F0E8"/>
            </w:r>
          </w:p>
        </w:tc>
      </w:tr>
      <w:tr w:rsidR="00096F6B" w14:paraId="0C12B6E4" w14:textId="77777777" w:rsidTr="00096F6B">
        <w:tc>
          <w:tcPr>
            <w:tcW w:w="4744" w:type="dxa"/>
            <w:tcBorders>
              <w:left w:val="single" w:sz="12" w:space="0" w:color="auto"/>
            </w:tcBorders>
            <w:shd w:val="clear" w:color="auto" w:fill="auto"/>
          </w:tcPr>
          <w:p w14:paraId="7B270A97" w14:textId="5AAD80BC" w:rsidR="00096F6B" w:rsidRPr="00445FEE" w:rsidRDefault="00096F6B" w:rsidP="00E518B6">
            <w:r>
              <w:t>Kosten</w:t>
            </w:r>
            <w:r w:rsidR="00E518B6">
              <w:t>reductie</w:t>
            </w:r>
          </w:p>
        </w:tc>
        <w:tc>
          <w:tcPr>
            <w:tcW w:w="851" w:type="dxa"/>
            <w:shd w:val="clear" w:color="auto" w:fill="auto"/>
            <w:vAlign w:val="center"/>
          </w:tcPr>
          <w:p w14:paraId="23CE2CE2" w14:textId="70BE7748" w:rsidR="00096F6B" w:rsidRPr="00CB2019" w:rsidRDefault="00E518B6" w:rsidP="00C9064D">
            <w:pPr>
              <w:jc w:val="center"/>
            </w:pPr>
            <w:r>
              <w:t>3</w:t>
            </w:r>
          </w:p>
        </w:tc>
        <w:tc>
          <w:tcPr>
            <w:tcW w:w="1606" w:type="dxa"/>
            <w:tcBorders>
              <w:right w:val="single" w:sz="12" w:space="0" w:color="auto"/>
            </w:tcBorders>
            <w:shd w:val="clear" w:color="auto" w:fill="auto"/>
            <w:vAlign w:val="center"/>
          </w:tcPr>
          <w:p w14:paraId="379C8E7A" w14:textId="77777777" w:rsidR="00096F6B" w:rsidRDefault="00096F6B" w:rsidP="00C9064D">
            <w:pPr>
              <w:jc w:val="center"/>
            </w:pPr>
            <w:r w:rsidRPr="00193994">
              <w:sym w:font="Wingdings" w:char="F0E8"/>
            </w:r>
          </w:p>
        </w:tc>
      </w:tr>
      <w:tr w:rsidR="00096F6B" w14:paraId="04A6D9E7" w14:textId="77777777" w:rsidTr="00096F6B">
        <w:tc>
          <w:tcPr>
            <w:tcW w:w="4744" w:type="dxa"/>
            <w:tcBorders>
              <w:left w:val="single" w:sz="12" w:space="0" w:color="auto"/>
              <w:bottom w:val="single" w:sz="12" w:space="0" w:color="auto"/>
            </w:tcBorders>
            <w:shd w:val="clear" w:color="auto" w:fill="auto"/>
          </w:tcPr>
          <w:p w14:paraId="44FEF0C4" w14:textId="77777777" w:rsidR="00096F6B" w:rsidRPr="00445FEE" w:rsidRDefault="00096F6B" w:rsidP="00C9064D">
            <w:r w:rsidRPr="00445FEE">
              <w:t xml:space="preserve">Corruptiebestrijding </w:t>
            </w:r>
            <w:r>
              <w:t>en accountability</w:t>
            </w:r>
          </w:p>
        </w:tc>
        <w:tc>
          <w:tcPr>
            <w:tcW w:w="851" w:type="dxa"/>
            <w:tcBorders>
              <w:bottom w:val="single" w:sz="12" w:space="0" w:color="auto"/>
            </w:tcBorders>
            <w:shd w:val="clear" w:color="auto" w:fill="auto"/>
            <w:vAlign w:val="center"/>
          </w:tcPr>
          <w:p w14:paraId="036761EE" w14:textId="77777777" w:rsidR="00096F6B" w:rsidRPr="00CB2019" w:rsidRDefault="00096F6B" w:rsidP="00C9064D">
            <w:pPr>
              <w:jc w:val="center"/>
            </w:pPr>
            <w:r w:rsidRPr="00CB2019">
              <w:t>3</w:t>
            </w:r>
          </w:p>
        </w:tc>
        <w:tc>
          <w:tcPr>
            <w:tcW w:w="1606" w:type="dxa"/>
            <w:tcBorders>
              <w:bottom w:val="single" w:sz="12" w:space="0" w:color="auto"/>
              <w:right w:val="single" w:sz="12" w:space="0" w:color="auto"/>
            </w:tcBorders>
            <w:shd w:val="clear" w:color="auto" w:fill="auto"/>
            <w:vAlign w:val="center"/>
          </w:tcPr>
          <w:p w14:paraId="302488F5" w14:textId="77777777" w:rsidR="00096F6B" w:rsidRDefault="00096F6B" w:rsidP="00C9064D">
            <w:pPr>
              <w:jc w:val="center"/>
            </w:pPr>
            <w:r w:rsidRPr="00193994">
              <w:sym w:font="Wingdings" w:char="F0E8"/>
            </w:r>
          </w:p>
        </w:tc>
      </w:tr>
    </w:tbl>
    <w:p w14:paraId="10021D8E" w14:textId="77777777" w:rsidR="00096F6B" w:rsidRDefault="00096F6B" w:rsidP="00096F6B"/>
    <w:p w14:paraId="3C3491A0" w14:textId="77777777" w:rsidR="00096F6B" w:rsidRPr="00096F6B" w:rsidRDefault="00096F6B" w:rsidP="00096F6B">
      <w:pPr>
        <w:ind w:firstLine="227"/>
      </w:pPr>
      <w:r w:rsidRPr="00096F6B">
        <w:t>Beoordeling: Onvoldoende = 1, Matig = 2, Voldoende = 3, Goed = 4</w:t>
      </w:r>
    </w:p>
    <w:p w14:paraId="47C37414" w14:textId="2CE6B408" w:rsidR="00096F6B" w:rsidRDefault="00096F6B" w:rsidP="00096F6B">
      <w:pPr>
        <w:ind w:firstLine="227"/>
        <w:rPr>
          <w:rFonts w:ascii="Segoe UI Emoji" w:eastAsia="Segoe UI Emoji" w:hAnsi="Segoe UI Emoji" w:cs="Segoe UI Emoji"/>
          <w:noProof/>
        </w:rPr>
      </w:pPr>
      <w:r w:rsidRPr="00096F6B">
        <w:t>Verandering sinds 2015: positief =</w:t>
      </w:r>
      <w:r w:rsidR="00844CC1">
        <w:t xml:space="preserve"> </w:t>
      </w:r>
      <w:r w:rsidRPr="00096F6B">
        <w:sym w:font="Wingdings" w:char="F0E9"/>
      </w:r>
      <w:r w:rsidRPr="00096F6B">
        <w:t xml:space="preserve">, neutraal = </w:t>
      </w:r>
      <w:r w:rsidRPr="00096F6B">
        <w:sym w:font="Wingdings" w:char="F0E8"/>
      </w:r>
      <w:r w:rsidRPr="00096F6B">
        <w:t xml:space="preserve">, negatief = </w:t>
      </w:r>
      <w:r w:rsidRPr="00096F6B">
        <w:rPr>
          <w:rFonts w:ascii="Segoe UI Emoji" w:eastAsia="Segoe UI Emoji" w:hAnsi="Segoe UI Emoji" w:cs="Segoe UI Emoji"/>
          <w:noProof/>
        </w:rPr>
        <w:sym w:font="Wingdings" w:char="F0EA"/>
      </w:r>
    </w:p>
    <w:p w14:paraId="0718D761" w14:textId="77777777" w:rsidR="00096F6B" w:rsidRPr="00096F6B" w:rsidRDefault="00096F6B" w:rsidP="00096F6B">
      <w:pPr>
        <w:ind w:firstLine="227"/>
      </w:pPr>
    </w:p>
    <w:p w14:paraId="3048EBA6" w14:textId="56E86628" w:rsidR="00096F6B" w:rsidRDefault="00096F6B" w:rsidP="00096F6B">
      <w:pPr>
        <w:pStyle w:val="Heading2"/>
        <w:tabs>
          <w:tab w:val="left" w:pos="-1162"/>
          <w:tab w:val="left" w:pos="0"/>
          <w:tab w:val="num" w:pos="1160"/>
        </w:tabs>
        <w:spacing w:line="240" w:lineRule="auto"/>
        <w:ind w:hanging="1162"/>
      </w:pPr>
      <w:bookmarkStart w:id="15" w:name="_Toc410397641"/>
      <w:bookmarkStart w:id="16" w:name="_Toc491268957"/>
      <w:r>
        <w:t xml:space="preserve">1.2 </w:t>
      </w:r>
      <w:r>
        <w:tab/>
        <w:t>Beleidsrelevantie</w:t>
      </w:r>
      <w:bookmarkEnd w:id="15"/>
      <w:bookmarkEnd w:id="16"/>
    </w:p>
    <w:p w14:paraId="7885049C" w14:textId="1AFB1289" w:rsidR="00096F6B" w:rsidRDefault="00096F6B" w:rsidP="00096F6B">
      <w:pPr>
        <w:autoSpaceDE w:val="0"/>
        <w:autoSpaceDN w:val="0"/>
        <w:adjustRightInd w:val="0"/>
        <w:spacing w:line="240" w:lineRule="auto"/>
      </w:pPr>
      <w:r>
        <w:t xml:space="preserve">UNDP heeft als systeemorganisatie met wereldwijde presentie en als betrouwbare en neutrale samenwerkingspartner een grote relevantie voor het BHOS beleid. Op gevoelige terreinen als democratisering en ontwikkeling van de rechtsstaat (in fragiele staten), maar ook op SRGR, gendergelijkheid en klimaat speelt de organisatie, zeker door de schaalgrootte, een belangrijke rol. UNDP heeft het vermogen verschillende spelers bij elkaar te brengen, is voorzitter van de VN ontwikkelingsgroep en speelt een centrale rol in VN hervormingen. Vanuit de </w:t>
      </w:r>
      <w:r w:rsidRPr="00AE668D">
        <w:rPr>
          <w:i/>
        </w:rPr>
        <w:t>Grand Bargain</w:t>
      </w:r>
      <w:r>
        <w:rPr>
          <w:rStyle w:val="FootnoteReference"/>
          <w:i/>
        </w:rPr>
        <w:footnoteReference w:id="2"/>
      </w:r>
      <w:r>
        <w:t xml:space="preserve"> heeft UNDP relevantie op het gebied van transitie van humanitaire hulp naar ontwikkelingsgerichte samenwerking. In al het bovenstaande schuilt wel het gevaar dat UNDP soms moeilijk ‘te grijpen’ is en daardoor wat onzichtbaar dreigt te zijn.</w:t>
      </w:r>
    </w:p>
    <w:p w14:paraId="2D02E2B2" w14:textId="24EC1C5B" w:rsidR="00844CC1" w:rsidRDefault="00844CC1" w:rsidP="00096F6B">
      <w:pPr>
        <w:autoSpaceDE w:val="0"/>
        <w:autoSpaceDN w:val="0"/>
        <w:adjustRightInd w:val="0"/>
        <w:spacing w:line="240" w:lineRule="auto"/>
      </w:pPr>
    </w:p>
    <w:p w14:paraId="11089AE4" w14:textId="6AEB67BA" w:rsidR="00844CC1" w:rsidRDefault="00844CC1" w:rsidP="00096F6B">
      <w:pPr>
        <w:autoSpaceDE w:val="0"/>
        <w:autoSpaceDN w:val="0"/>
        <w:adjustRightInd w:val="0"/>
        <w:spacing w:line="240" w:lineRule="auto"/>
      </w:pPr>
    </w:p>
    <w:p w14:paraId="63F745E7" w14:textId="56DED8A3" w:rsidR="00844CC1" w:rsidRDefault="00844CC1" w:rsidP="00096F6B">
      <w:pPr>
        <w:autoSpaceDE w:val="0"/>
        <w:autoSpaceDN w:val="0"/>
        <w:adjustRightInd w:val="0"/>
        <w:spacing w:line="240" w:lineRule="auto"/>
      </w:pPr>
    </w:p>
    <w:p w14:paraId="3E29D349" w14:textId="7CFE3F13" w:rsidR="00844CC1" w:rsidRDefault="00844CC1" w:rsidP="00096F6B">
      <w:pPr>
        <w:autoSpaceDE w:val="0"/>
        <w:autoSpaceDN w:val="0"/>
        <w:adjustRightInd w:val="0"/>
        <w:spacing w:line="240" w:lineRule="auto"/>
      </w:pPr>
    </w:p>
    <w:p w14:paraId="40C6C53F" w14:textId="7A8E8958" w:rsidR="00844CC1" w:rsidRDefault="00844CC1" w:rsidP="00096F6B">
      <w:pPr>
        <w:autoSpaceDE w:val="0"/>
        <w:autoSpaceDN w:val="0"/>
        <w:adjustRightInd w:val="0"/>
        <w:spacing w:line="240" w:lineRule="auto"/>
      </w:pPr>
    </w:p>
    <w:p w14:paraId="4937E955" w14:textId="5257B56B" w:rsidR="00844CC1" w:rsidRDefault="00844CC1" w:rsidP="00096F6B">
      <w:pPr>
        <w:autoSpaceDE w:val="0"/>
        <w:autoSpaceDN w:val="0"/>
        <w:adjustRightInd w:val="0"/>
        <w:spacing w:line="240" w:lineRule="auto"/>
      </w:pPr>
    </w:p>
    <w:p w14:paraId="09D7A19E" w14:textId="77777777" w:rsidR="00844CC1" w:rsidRDefault="00844CC1" w:rsidP="00096F6B">
      <w:pPr>
        <w:autoSpaceDE w:val="0"/>
        <w:autoSpaceDN w:val="0"/>
        <w:adjustRightInd w:val="0"/>
        <w:spacing w:line="240" w:lineRule="auto"/>
      </w:pPr>
    </w:p>
    <w:p w14:paraId="747CB6B9" w14:textId="034BE6F5" w:rsidR="00096F6B" w:rsidRDefault="00096F6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1"/>
        <w:gridCol w:w="1468"/>
        <w:gridCol w:w="1650"/>
        <w:gridCol w:w="1286"/>
      </w:tblGrid>
      <w:tr w:rsidR="00096F6B" w14:paraId="6543E289" w14:textId="77777777" w:rsidTr="00A50264">
        <w:tc>
          <w:tcPr>
            <w:tcW w:w="2571" w:type="dxa"/>
            <w:tcBorders>
              <w:top w:val="single" w:sz="12" w:space="0" w:color="auto"/>
              <w:left w:val="single" w:sz="12" w:space="0" w:color="auto"/>
              <w:bottom w:val="single" w:sz="12" w:space="0" w:color="auto"/>
            </w:tcBorders>
            <w:shd w:val="clear" w:color="auto" w:fill="BFBFBF" w:themeFill="background1" w:themeFillShade="BF"/>
          </w:tcPr>
          <w:p w14:paraId="2E2345E2" w14:textId="693D6C9D" w:rsidR="00096F6B" w:rsidRDefault="00096F6B" w:rsidP="00C9064D"/>
        </w:tc>
        <w:tc>
          <w:tcPr>
            <w:tcW w:w="1468" w:type="dxa"/>
            <w:tcBorders>
              <w:top w:val="single" w:sz="12" w:space="0" w:color="auto"/>
              <w:bottom w:val="single" w:sz="12" w:space="0" w:color="auto"/>
            </w:tcBorders>
            <w:shd w:val="clear" w:color="auto" w:fill="BFBFBF" w:themeFill="background1" w:themeFillShade="BF"/>
          </w:tcPr>
          <w:p w14:paraId="1A3CC9C4" w14:textId="77777777" w:rsidR="00096F6B" w:rsidRPr="00D94DB4" w:rsidRDefault="00096F6B" w:rsidP="00C9064D">
            <w:pPr>
              <w:rPr>
                <w:b/>
              </w:rPr>
            </w:pPr>
            <w:r w:rsidRPr="00D94DB4">
              <w:rPr>
                <w:b/>
              </w:rPr>
              <w:t>Uitvoerend</w:t>
            </w:r>
          </w:p>
        </w:tc>
        <w:tc>
          <w:tcPr>
            <w:tcW w:w="1650" w:type="dxa"/>
            <w:tcBorders>
              <w:top w:val="single" w:sz="12" w:space="0" w:color="auto"/>
              <w:bottom w:val="single" w:sz="12" w:space="0" w:color="auto"/>
            </w:tcBorders>
            <w:shd w:val="clear" w:color="auto" w:fill="BFBFBF" w:themeFill="background1" w:themeFillShade="BF"/>
          </w:tcPr>
          <w:p w14:paraId="291535CD" w14:textId="77777777" w:rsidR="00096F6B" w:rsidRPr="00D94DB4" w:rsidRDefault="00096F6B" w:rsidP="00C9064D">
            <w:pPr>
              <w:rPr>
                <w:b/>
              </w:rPr>
            </w:pPr>
            <w:r w:rsidRPr="00D94DB4">
              <w:rPr>
                <w:b/>
              </w:rPr>
              <w:t>Coördinerend</w:t>
            </w:r>
          </w:p>
        </w:tc>
        <w:tc>
          <w:tcPr>
            <w:tcW w:w="1286" w:type="dxa"/>
            <w:tcBorders>
              <w:top w:val="single" w:sz="12" w:space="0" w:color="auto"/>
              <w:right w:val="single" w:sz="12" w:space="0" w:color="auto"/>
            </w:tcBorders>
            <w:shd w:val="clear" w:color="auto" w:fill="BFBFBF" w:themeFill="background1" w:themeFillShade="BF"/>
          </w:tcPr>
          <w:p w14:paraId="2DBDCBE5" w14:textId="77777777" w:rsidR="00096F6B" w:rsidRPr="00D94DB4" w:rsidRDefault="00096F6B" w:rsidP="00C9064D">
            <w:pPr>
              <w:rPr>
                <w:b/>
              </w:rPr>
            </w:pPr>
            <w:r w:rsidRPr="00D94DB4">
              <w:rPr>
                <w:b/>
              </w:rPr>
              <w:t>Normatief</w:t>
            </w:r>
          </w:p>
        </w:tc>
      </w:tr>
      <w:tr w:rsidR="00096F6B" w14:paraId="24EEBDC9" w14:textId="77777777" w:rsidTr="00F707AC">
        <w:tc>
          <w:tcPr>
            <w:tcW w:w="6975"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05623DEF" w14:textId="64257B8D" w:rsidR="00096F6B" w:rsidRPr="00D94DB4" w:rsidRDefault="00096F6B" w:rsidP="00C9064D">
            <w:pPr>
              <w:rPr>
                <w:b/>
              </w:rPr>
            </w:pPr>
            <w:r>
              <w:rPr>
                <w:b/>
              </w:rPr>
              <w:t>Relevantie voor de Nederlandse BHOS-prioriteiten</w:t>
            </w:r>
          </w:p>
        </w:tc>
      </w:tr>
      <w:tr w:rsidR="00096F6B" w14:paraId="3CDDC5A8" w14:textId="77777777" w:rsidTr="00A50264">
        <w:trPr>
          <w:trHeight w:val="132"/>
        </w:trPr>
        <w:tc>
          <w:tcPr>
            <w:tcW w:w="2571" w:type="dxa"/>
            <w:tcBorders>
              <w:top w:val="single" w:sz="12" w:space="0" w:color="auto"/>
              <w:left w:val="single" w:sz="12" w:space="0" w:color="auto"/>
            </w:tcBorders>
            <w:shd w:val="clear" w:color="auto" w:fill="auto"/>
          </w:tcPr>
          <w:p w14:paraId="78569382" w14:textId="7EA2CDA0" w:rsidR="00F707AC" w:rsidRDefault="00096F6B" w:rsidP="00C9064D">
            <w:r>
              <w:t>Veiligheid en Rechtsorde</w:t>
            </w:r>
          </w:p>
        </w:tc>
        <w:tc>
          <w:tcPr>
            <w:tcW w:w="1468" w:type="dxa"/>
            <w:tcBorders>
              <w:top w:val="single" w:sz="12" w:space="0" w:color="auto"/>
            </w:tcBorders>
            <w:shd w:val="clear" w:color="auto" w:fill="auto"/>
          </w:tcPr>
          <w:p w14:paraId="2C65D817" w14:textId="77777777" w:rsidR="00096F6B" w:rsidRPr="00CB2019" w:rsidRDefault="00096F6B" w:rsidP="00C9064D">
            <w:pPr>
              <w:jc w:val="center"/>
            </w:pPr>
            <w:r w:rsidRPr="00CB2019">
              <w:t>4</w:t>
            </w:r>
          </w:p>
        </w:tc>
        <w:tc>
          <w:tcPr>
            <w:tcW w:w="1650" w:type="dxa"/>
            <w:tcBorders>
              <w:top w:val="single" w:sz="12" w:space="0" w:color="auto"/>
            </w:tcBorders>
            <w:shd w:val="clear" w:color="auto" w:fill="auto"/>
          </w:tcPr>
          <w:p w14:paraId="5A1FB98E" w14:textId="77777777" w:rsidR="00096F6B" w:rsidRPr="00CB2019" w:rsidRDefault="00096F6B" w:rsidP="00C9064D">
            <w:pPr>
              <w:jc w:val="center"/>
            </w:pPr>
            <w:r w:rsidRPr="00CB2019">
              <w:t>4</w:t>
            </w:r>
          </w:p>
        </w:tc>
        <w:tc>
          <w:tcPr>
            <w:tcW w:w="1286" w:type="dxa"/>
            <w:tcBorders>
              <w:top w:val="single" w:sz="12" w:space="0" w:color="auto"/>
              <w:right w:val="single" w:sz="12" w:space="0" w:color="auto"/>
            </w:tcBorders>
            <w:shd w:val="clear" w:color="auto" w:fill="auto"/>
          </w:tcPr>
          <w:p w14:paraId="0E1E5634" w14:textId="77777777" w:rsidR="00096F6B" w:rsidRPr="00CB2019" w:rsidRDefault="00096F6B" w:rsidP="00C9064D">
            <w:pPr>
              <w:jc w:val="center"/>
            </w:pPr>
            <w:r w:rsidRPr="00CB2019">
              <w:t>3</w:t>
            </w:r>
          </w:p>
        </w:tc>
      </w:tr>
      <w:tr w:rsidR="00096F6B" w14:paraId="0464C86E" w14:textId="77777777" w:rsidTr="00A50264">
        <w:tc>
          <w:tcPr>
            <w:tcW w:w="2571" w:type="dxa"/>
            <w:tcBorders>
              <w:left w:val="single" w:sz="12" w:space="0" w:color="auto"/>
            </w:tcBorders>
            <w:shd w:val="clear" w:color="auto" w:fill="auto"/>
          </w:tcPr>
          <w:p w14:paraId="22F4A3C9" w14:textId="2FAB816F" w:rsidR="00F707AC" w:rsidRDefault="00096F6B" w:rsidP="00C9064D">
            <w:r>
              <w:t>SRGR (incl. HIV/AIDS)</w:t>
            </w:r>
          </w:p>
        </w:tc>
        <w:tc>
          <w:tcPr>
            <w:tcW w:w="1468" w:type="dxa"/>
            <w:shd w:val="clear" w:color="auto" w:fill="auto"/>
          </w:tcPr>
          <w:p w14:paraId="1E3C2320" w14:textId="77777777" w:rsidR="00096F6B" w:rsidRPr="00CB2019" w:rsidRDefault="00096F6B" w:rsidP="00C9064D">
            <w:pPr>
              <w:jc w:val="center"/>
            </w:pPr>
            <w:r w:rsidRPr="00CB2019">
              <w:t>3</w:t>
            </w:r>
          </w:p>
        </w:tc>
        <w:tc>
          <w:tcPr>
            <w:tcW w:w="1650" w:type="dxa"/>
            <w:shd w:val="clear" w:color="auto" w:fill="auto"/>
          </w:tcPr>
          <w:p w14:paraId="041C3295" w14:textId="77777777" w:rsidR="00096F6B" w:rsidRPr="00CB2019" w:rsidRDefault="00096F6B" w:rsidP="00C9064D">
            <w:pPr>
              <w:jc w:val="center"/>
            </w:pPr>
          </w:p>
        </w:tc>
        <w:tc>
          <w:tcPr>
            <w:tcW w:w="1286" w:type="dxa"/>
            <w:tcBorders>
              <w:right w:val="single" w:sz="12" w:space="0" w:color="auto"/>
            </w:tcBorders>
            <w:shd w:val="clear" w:color="auto" w:fill="auto"/>
          </w:tcPr>
          <w:p w14:paraId="48CD3B32" w14:textId="77777777" w:rsidR="00096F6B" w:rsidRPr="00CB2019" w:rsidRDefault="00096F6B" w:rsidP="00C9064D">
            <w:pPr>
              <w:jc w:val="center"/>
            </w:pPr>
          </w:p>
        </w:tc>
      </w:tr>
      <w:tr w:rsidR="00096F6B" w14:paraId="5411E44D" w14:textId="77777777" w:rsidTr="00A50264">
        <w:tc>
          <w:tcPr>
            <w:tcW w:w="2571" w:type="dxa"/>
            <w:tcBorders>
              <w:left w:val="single" w:sz="12" w:space="0" w:color="auto"/>
            </w:tcBorders>
            <w:shd w:val="clear" w:color="auto" w:fill="auto"/>
          </w:tcPr>
          <w:p w14:paraId="2969E094" w14:textId="46BF6299" w:rsidR="00F707AC" w:rsidRDefault="00096F6B" w:rsidP="00C9064D">
            <w:r>
              <w:t xml:space="preserve">Gendergelijkheid </w:t>
            </w:r>
          </w:p>
        </w:tc>
        <w:tc>
          <w:tcPr>
            <w:tcW w:w="1468" w:type="dxa"/>
            <w:shd w:val="clear" w:color="auto" w:fill="auto"/>
          </w:tcPr>
          <w:p w14:paraId="5DD96595" w14:textId="77777777" w:rsidR="00096F6B" w:rsidRPr="00CB2019" w:rsidRDefault="00096F6B" w:rsidP="00C9064D">
            <w:pPr>
              <w:jc w:val="center"/>
            </w:pPr>
            <w:r w:rsidRPr="00CB2019">
              <w:t>3</w:t>
            </w:r>
          </w:p>
        </w:tc>
        <w:tc>
          <w:tcPr>
            <w:tcW w:w="1650" w:type="dxa"/>
            <w:shd w:val="clear" w:color="auto" w:fill="auto"/>
          </w:tcPr>
          <w:p w14:paraId="781ADA78" w14:textId="77777777" w:rsidR="00096F6B" w:rsidRPr="00CB2019" w:rsidRDefault="00096F6B" w:rsidP="00C9064D">
            <w:pPr>
              <w:jc w:val="center"/>
            </w:pPr>
            <w:r w:rsidRPr="00CB2019">
              <w:t>4</w:t>
            </w:r>
          </w:p>
        </w:tc>
        <w:tc>
          <w:tcPr>
            <w:tcW w:w="1286" w:type="dxa"/>
            <w:tcBorders>
              <w:right w:val="single" w:sz="12" w:space="0" w:color="auto"/>
            </w:tcBorders>
            <w:shd w:val="clear" w:color="auto" w:fill="auto"/>
          </w:tcPr>
          <w:p w14:paraId="393C2987" w14:textId="77777777" w:rsidR="00096F6B" w:rsidRPr="00CB2019" w:rsidRDefault="00096F6B" w:rsidP="00C9064D">
            <w:pPr>
              <w:jc w:val="center"/>
            </w:pPr>
            <w:r w:rsidRPr="00CB2019">
              <w:t>3</w:t>
            </w:r>
          </w:p>
        </w:tc>
      </w:tr>
      <w:tr w:rsidR="00096F6B" w14:paraId="2C12FE2E" w14:textId="77777777" w:rsidTr="00A50264">
        <w:tc>
          <w:tcPr>
            <w:tcW w:w="2571" w:type="dxa"/>
            <w:tcBorders>
              <w:left w:val="single" w:sz="12" w:space="0" w:color="auto"/>
              <w:bottom w:val="single" w:sz="12" w:space="0" w:color="auto"/>
            </w:tcBorders>
            <w:shd w:val="clear" w:color="auto" w:fill="auto"/>
          </w:tcPr>
          <w:p w14:paraId="4D704A05" w14:textId="73A29BB6" w:rsidR="00F707AC" w:rsidRDefault="00096F6B" w:rsidP="00C9064D">
            <w:r>
              <w:t>Klimaat</w:t>
            </w:r>
          </w:p>
        </w:tc>
        <w:tc>
          <w:tcPr>
            <w:tcW w:w="1468" w:type="dxa"/>
            <w:tcBorders>
              <w:bottom w:val="single" w:sz="12" w:space="0" w:color="auto"/>
            </w:tcBorders>
            <w:shd w:val="clear" w:color="auto" w:fill="auto"/>
          </w:tcPr>
          <w:p w14:paraId="67D478CE" w14:textId="77777777" w:rsidR="00096F6B" w:rsidRPr="00CB2019" w:rsidRDefault="00096F6B" w:rsidP="00C9064D">
            <w:pPr>
              <w:jc w:val="center"/>
            </w:pPr>
            <w:r w:rsidRPr="00CB2019">
              <w:t>3</w:t>
            </w:r>
          </w:p>
        </w:tc>
        <w:tc>
          <w:tcPr>
            <w:tcW w:w="1650" w:type="dxa"/>
            <w:tcBorders>
              <w:bottom w:val="single" w:sz="12" w:space="0" w:color="auto"/>
            </w:tcBorders>
            <w:shd w:val="clear" w:color="auto" w:fill="auto"/>
          </w:tcPr>
          <w:p w14:paraId="5D2B729E" w14:textId="77777777" w:rsidR="00096F6B" w:rsidRPr="00B0568F" w:rsidRDefault="00096F6B" w:rsidP="00C9064D">
            <w:pPr>
              <w:jc w:val="center"/>
              <w:rPr>
                <w:b/>
              </w:rPr>
            </w:pPr>
          </w:p>
        </w:tc>
        <w:tc>
          <w:tcPr>
            <w:tcW w:w="1286" w:type="dxa"/>
            <w:tcBorders>
              <w:bottom w:val="single" w:sz="12" w:space="0" w:color="auto"/>
              <w:right w:val="single" w:sz="12" w:space="0" w:color="auto"/>
            </w:tcBorders>
            <w:shd w:val="clear" w:color="auto" w:fill="auto"/>
          </w:tcPr>
          <w:p w14:paraId="66D8F3EF" w14:textId="77777777" w:rsidR="00096F6B" w:rsidRPr="00B0568F" w:rsidRDefault="00096F6B" w:rsidP="00C9064D">
            <w:pPr>
              <w:jc w:val="center"/>
              <w:rPr>
                <w:b/>
              </w:rPr>
            </w:pPr>
          </w:p>
        </w:tc>
      </w:tr>
      <w:tr w:rsidR="00096F6B" w14:paraId="3AA30CA2" w14:textId="77777777" w:rsidTr="00A50264">
        <w:tc>
          <w:tcPr>
            <w:tcW w:w="2571" w:type="dxa"/>
            <w:tcBorders>
              <w:top w:val="single" w:sz="12" w:space="0" w:color="auto"/>
              <w:left w:val="single" w:sz="12" w:space="0" w:color="auto"/>
              <w:bottom w:val="single" w:sz="12" w:space="0" w:color="auto"/>
            </w:tcBorders>
            <w:shd w:val="clear" w:color="auto" w:fill="BFBFBF" w:themeFill="background1" w:themeFillShade="BF"/>
          </w:tcPr>
          <w:p w14:paraId="6FADE2D4" w14:textId="77777777" w:rsidR="00096F6B" w:rsidRPr="00E22FFF" w:rsidRDefault="00096F6B" w:rsidP="00C9064D">
            <w:pPr>
              <w:rPr>
                <w:b/>
              </w:rPr>
            </w:pPr>
            <w:r w:rsidRPr="00E22FFF">
              <w:rPr>
                <w:b/>
              </w:rPr>
              <w:t>Overige Relevantie</w:t>
            </w:r>
          </w:p>
        </w:tc>
        <w:tc>
          <w:tcPr>
            <w:tcW w:w="1468" w:type="dxa"/>
            <w:tcBorders>
              <w:top w:val="single" w:sz="12" w:space="0" w:color="auto"/>
              <w:bottom w:val="single" w:sz="12" w:space="0" w:color="auto"/>
            </w:tcBorders>
            <w:shd w:val="clear" w:color="auto" w:fill="D9D9D9" w:themeFill="background1" w:themeFillShade="D9"/>
          </w:tcPr>
          <w:p w14:paraId="7CE3E116" w14:textId="77777777" w:rsidR="00096F6B" w:rsidRPr="00E22FFF" w:rsidRDefault="00096F6B" w:rsidP="00C9064D">
            <w:pPr>
              <w:jc w:val="center"/>
              <w:rPr>
                <w:b/>
              </w:rPr>
            </w:pPr>
          </w:p>
        </w:tc>
        <w:tc>
          <w:tcPr>
            <w:tcW w:w="1650" w:type="dxa"/>
            <w:tcBorders>
              <w:top w:val="single" w:sz="12" w:space="0" w:color="auto"/>
              <w:bottom w:val="single" w:sz="12" w:space="0" w:color="auto"/>
            </w:tcBorders>
            <w:shd w:val="clear" w:color="auto" w:fill="D9D9D9" w:themeFill="background1" w:themeFillShade="D9"/>
          </w:tcPr>
          <w:p w14:paraId="4D3F15C8" w14:textId="77777777" w:rsidR="00096F6B" w:rsidRPr="00E22FFF" w:rsidRDefault="00096F6B" w:rsidP="00C9064D">
            <w:pPr>
              <w:jc w:val="center"/>
              <w:rPr>
                <w:b/>
              </w:rPr>
            </w:pPr>
          </w:p>
        </w:tc>
        <w:tc>
          <w:tcPr>
            <w:tcW w:w="1286" w:type="dxa"/>
            <w:tcBorders>
              <w:top w:val="single" w:sz="12" w:space="0" w:color="auto"/>
              <w:bottom w:val="single" w:sz="12" w:space="0" w:color="auto"/>
              <w:right w:val="single" w:sz="12" w:space="0" w:color="auto"/>
            </w:tcBorders>
            <w:shd w:val="clear" w:color="auto" w:fill="D9D9D9" w:themeFill="background1" w:themeFillShade="D9"/>
          </w:tcPr>
          <w:p w14:paraId="08337F30" w14:textId="77777777" w:rsidR="00096F6B" w:rsidRPr="00E22FFF" w:rsidRDefault="00096F6B" w:rsidP="00C9064D">
            <w:pPr>
              <w:jc w:val="center"/>
              <w:rPr>
                <w:b/>
              </w:rPr>
            </w:pPr>
          </w:p>
        </w:tc>
      </w:tr>
      <w:tr w:rsidR="00096F6B" w14:paraId="7C5097BD" w14:textId="77777777" w:rsidTr="00A50264">
        <w:tc>
          <w:tcPr>
            <w:tcW w:w="2571" w:type="dxa"/>
            <w:tcBorders>
              <w:top w:val="single" w:sz="12" w:space="0" w:color="auto"/>
              <w:left w:val="single" w:sz="12" w:space="0" w:color="auto"/>
              <w:bottom w:val="single" w:sz="12" w:space="0" w:color="auto"/>
            </w:tcBorders>
            <w:shd w:val="clear" w:color="auto" w:fill="auto"/>
          </w:tcPr>
          <w:p w14:paraId="1C288589" w14:textId="109D2EC2" w:rsidR="00F707AC" w:rsidRDefault="00E32353" w:rsidP="00C9064D">
            <w:r>
              <w:t>Internationale coördinatie en samenwerking ontwikkelingsbeleid</w:t>
            </w:r>
          </w:p>
        </w:tc>
        <w:tc>
          <w:tcPr>
            <w:tcW w:w="1468" w:type="dxa"/>
            <w:tcBorders>
              <w:top w:val="single" w:sz="12" w:space="0" w:color="auto"/>
              <w:bottom w:val="single" w:sz="12" w:space="0" w:color="auto"/>
            </w:tcBorders>
            <w:shd w:val="clear" w:color="auto" w:fill="auto"/>
          </w:tcPr>
          <w:p w14:paraId="599794B6" w14:textId="77777777" w:rsidR="00096F6B" w:rsidRPr="00CB2019" w:rsidRDefault="00096F6B" w:rsidP="00C9064D">
            <w:pPr>
              <w:jc w:val="center"/>
            </w:pPr>
            <w:r w:rsidRPr="00CB2019">
              <w:t>4</w:t>
            </w:r>
          </w:p>
        </w:tc>
        <w:tc>
          <w:tcPr>
            <w:tcW w:w="1650" w:type="dxa"/>
            <w:tcBorders>
              <w:top w:val="single" w:sz="12" w:space="0" w:color="auto"/>
              <w:bottom w:val="single" w:sz="12" w:space="0" w:color="auto"/>
            </w:tcBorders>
            <w:shd w:val="clear" w:color="auto" w:fill="auto"/>
          </w:tcPr>
          <w:p w14:paraId="2730EFF2" w14:textId="77777777" w:rsidR="00096F6B" w:rsidRPr="00CB2019" w:rsidRDefault="00096F6B" w:rsidP="00C9064D">
            <w:pPr>
              <w:jc w:val="center"/>
            </w:pPr>
            <w:r w:rsidRPr="00CB2019">
              <w:t>3</w:t>
            </w:r>
          </w:p>
        </w:tc>
        <w:tc>
          <w:tcPr>
            <w:tcW w:w="1286" w:type="dxa"/>
            <w:tcBorders>
              <w:top w:val="single" w:sz="12" w:space="0" w:color="auto"/>
              <w:bottom w:val="single" w:sz="12" w:space="0" w:color="auto"/>
              <w:right w:val="single" w:sz="12" w:space="0" w:color="auto"/>
            </w:tcBorders>
            <w:shd w:val="clear" w:color="auto" w:fill="auto"/>
          </w:tcPr>
          <w:p w14:paraId="1B71EAFC" w14:textId="77777777" w:rsidR="00096F6B" w:rsidRPr="00CB2019" w:rsidRDefault="00096F6B" w:rsidP="00C9064D">
            <w:pPr>
              <w:jc w:val="center"/>
            </w:pPr>
            <w:r w:rsidRPr="00CB2019">
              <w:t>3</w:t>
            </w:r>
          </w:p>
        </w:tc>
      </w:tr>
    </w:tbl>
    <w:p w14:paraId="3ADA37D4" w14:textId="77777777" w:rsidR="00096F6B" w:rsidRDefault="00096F6B" w:rsidP="00096F6B"/>
    <w:p w14:paraId="609C97C1" w14:textId="77777777" w:rsidR="00096F6B" w:rsidRPr="00096F6B" w:rsidRDefault="00096F6B" w:rsidP="00096F6B">
      <w:pPr>
        <w:ind w:firstLine="227"/>
      </w:pPr>
      <w:r w:rsidRPr="00096F6B">
        <w:t>Beoordeling: Onvoldoende = 1, Matig = 2, Voldoende = 3, Goed = 4</w:t>
      </w:r>
    </w:p>
    <w:p w14:paraId="1851F57F" w14:textId="77777777" w:rsidR="00096F6B" w:rsidRPr="00096F6B" w:rsidRDefault="00096F6B" w:rsidP="00096F6B"/>
    <w:p w14:paraId="0EE56071" w14:textId="269E7E20" w:rsidR="00096F6B" w:rsidRPr="00734374" w:rsidRDefault="00096F6B" w:rsidP="00096F6B">
      <w:pPr>
        <w:pStyle w:val="Heading1"/>
        <w:tabs>
          <w:tab w:val="num" w:pos="0"/>
        </w:tabs>
        <w:spacing w:after="240" w:line="240" w:lineRule="auto"/>
        <w:ind w:hanging="1162"/>
      </w:pPr>
      <w:bookmarkStart w:id="17" w:name="_Toc300822504"/>
      <w:bookmarkStart w:id="18" w:name="_Toc491268958"/>
      <w:bookmarkStart w:id="19" w:name="_Toc410397640"/>
      <w:r>
        <w:lastRenderedPageBreak/>
        <w:t>2</w:t>
      </w:r>
      <w:r w:rsidRPr="00734374">
        <w:t xml:space="preserve"> </w:t>
      </w:r>
      <w:r>
        <w:tab/>
      </w:r>
      <w:r w:rsidRPr="00734374">
        <w:t>Inleiding</w:t>
      </w:r>
      <w:bookmarkEnd w:id="17"/>
      <w:bookmarkEnd w:id="18"/>
    </w:p>
    <w:p w14:paraId="038D765E" w14:textId="65E3E2FA" w:rsidR="00096F6B" w:rsidRDefault="00096F6B" w:rsidP="00096F6B">
      <w:pPr>
        <w:shd w:val="clear" w:color="auto" w:fill="FFFFFF"/>
        <w:spacing w:before="100" w:beforeAutospacing="1" w:after="100" w:afterAutospacing="1" w:line="240" w:lineRule="auto"/>
        <w:rPr>
          <w:szCs w:val="18"/>
          <w:lang w:eastAsia="zh-CN"/>
        </w:rPr>
      </w:pPr>
      <w:r>
        <w:rPr>
          <w:szCs w:val="18"/>
          <w:lang w:eastAsia="zh-CN"/>
        </w:rPr>
        <w:t>Scorecards worden opgesteld om het functioneren en de beleidsrelevantie van multilaterale organisaties in kaart te brengen. De Nederlandse inzet in multilaterale organisaties wordt geconcentreerd op organisaties die effectief zijn en die relevant zijn voor het Nederlandse beleid, of een sleutelrol vervullen binnen de multilaterale architectuur als “systeemorganisatie”. Dit vraagt om zorgvuldige en regelmatige toetsing. Het streven is om scorecards op te stellen voor de VN Fondsen en Programma’s, de Internationale Financiële Instellingen (IFI's), de voor Nederlands beleid voor Buitenlandse Handel en Ontwikkelingssamenwerking (BHOS) relevante gespecialiseerde VN-organisaties en kantoren, en de majeure wereldwijde fondsen; multilaterale organisaties waaraan Nederland een substantiële ODA-bijdrage levert. De relevantie wordt primair getoetst aan het Nederlandse BHOS beleid en de bredere betekenis van multilaterale instellingen voor andere aspecten van Nederlands beleid wordt waar relevant meegenomen.</w:t>
      </w:r>
    </w:p>
    <w:p w14:paraId="6502A719" w14:textId="77777777" w:rsidR="00096F6B" w:rsidRPr="00307981" w:rsidRDefault="00096F6B" w:rsidP="00096F6B">
      <w:pPr>
        <w:shd w:val="clear" w:color="auto" w:fill="FFFFFF"/>
        <w:spacing w:before="100" w:beforeAutospacing="1" w:after="100" w:afterAutospacing="1" w:line="240" w:lineRule="auto"/>
        <w:rPr>
          <w:szCs w:val="18"/>
          <w:lang w:eastAsia="zh-CN"/>
        </w:rPr>
      </w:pPr>
      <w:r>
        <w:rPr>
          <w:szCs w:val="18"/>
          <w:lang w:eastAsia="zh-CN"/>
        </w:rPr>
        <w:t>Elke</w:t>
      </w:r>
      <w:r w:rsidRPr="00307981">
        <w:rPr>
          <w:szCs w:val="18"/>
          <w:lang w:eastAsia="zh-CN"/>
        </w:rPr>
        <w:t xml:space="preserve"> scorecard ge</w:t>
      </w:r>
      <w:r>
        <w:rPr>
          <w:szCs w:val="18"/>
          <w:lang w:eastAsia="zh-CN"/>
        </w:rPr>
        <w:t>eft</w:t>
      </w:r>
      <w:r w:rsidRPr="00307981">
        <w:rPr>
          <w:szCs w:val="18"/>
          <w:lang w:eastAsia="zh-CN"/>
        </w:rPr>
        <w:t xml:space="preserve"> een overzicht van de doelstellingen</w:t>
      </w:r>
      <w:r>
        <w:rPr>
          <w:szCs w:val="18"/>
          <w:lang w:eastAsia="zh-CN"/>
        </w:rPr>
        <w:t>,</w:t>
      </w:r>
      <w:r w:rsidRPr="00307981">
        <w:rPr>
          <w:szCs w:val="18"/>
          <w:lang w:eastAsia="zh-CN"/>
        </w:rPr>
        <w:t xml:space="preserve"> het mandaat </w:t>
      </w:r>
      <w:r>
        <w:rPr>
          <w:szCs w:val="18"/>
          <w:lang w:eastAsia="zh-CN"/>
        </w:rPr>
        <w:t xml:space="preserve">en de kernkwaliteiten van de </w:t>
      </w:r>
      <w:r w:rsidRPr="00307981">
        <w:rPr>
          <w:szCs w:val="18"/>
          <w:lang w:eastAsia="zh-CN"/>
        </w:rPr>
        <w:t xml:space="preserve">betreffende internationale </w:t>
      </w:r>
      <w:r>
        <w:rPr>
          <w:szCs w:val="18"/>
          <w:lang w:eastAsia="zh-CN"/>
        </w:rPr>
        <w:t>instelling</w:t>
      </w:r>
      <w:r w:rsidRPr="00307981">
        <w:rPr>
          <w:szCs w:val="18"/>
          <w:lang w:eastAsia="zh-CN"/>
        </w:rPr>
        <w:t xml:space="preserve">, van de wijze waarop de organisatie </w:t>
      </w:r>
      <w:r>
        <w:rPr>
          <w:szCs w:val="18"/>
          <w:lang w:eastAsia="zh-CN"/>
        </w:rPr>
        <w:t>is ingericht en welke activiteiten ze</w:t>
      </w:r>
      <w:r w:rsidRPr="00307981">
        <w:rPr>
          <w:szCs w:val="18"/>
          <w:lang w:eastAsia="zh-CN"/>
        </w:rPr>
        <w:t xml:space="preserve"> uitvoert, van de financiële omvang en de Nederlandse bijdragen</w:t>
      </w:r>
      <w:r>
        <w:rPr>
          <w:szCs w:val="18"/>
          <w:lang w:eastAsia="zh-CN"/>
        </w:rPr>
        <w:t>. Op basis van een analyse van de verschillende deelaspecten wordt een</w:t>
      </w:r>
      <w:r w:rsidRPr="00307981">
        <w:rPr>
          <w:szCs w:val="18"/>
          <w:lang w:eastAsia="zh-CN"/>
        </w:rPr>
        <w:t xml:space="preserve"> appreciatie </w:t>
      </w:r>
      <w:r>
        <w:rPr>
          <w:szCs w:val="18"/>
          <w:lang w:eastAsia="zh-CN"/>
        </w:rPr>
        <w:t xml:space="preserve">gegeven </w:t>
      </w:r>
      <w:r w:rsidRPr="00307981">
        <w:rPr>
          <w:szCs w:val="18"/>
          <w:lang w:eastAsia="zh-CN"/>
        </w:rPr>
        <w:t xml:space="preserve">van de </w:t>
      </w:r>
      <w:r>
        <w:rPr>
          <w:szCs w:val="18"/>
          <w:lang w:eastAsia="zh-CN"/>
        </w:rPr>
        <w:t>organisatorische effectiviteit</w:t>
      </w:r>
      <w:r w:rsidRPr="00307981">
        <w:rPr>
          <w:szCs w:val="18"/>
          <w:lang w:eastAsia="zh-CN"/>
        </w:rPr>
        <w:t xml:space="preserve"> en van de relevantie </w:t>
      </w:r>
      <w:r>
        <w:rPr>
          <w:szCs w:val="18"/>
          <w:lang w:eastAsia="zh-CN"/>
        </w:rPr>
        <w:t xml:space="preserve">voor </w:t>
      </w:r>
      <w:r w:rsidRPr="00307981">
        <w:rPr>
          <w:szCs w:val="18"/>
          <w:lang w:eastAsia="zh-CN"/>
        </w:rPr>
        <w:t>de Nederlandse beleidsdoelstellingen.</w:t>
      </w:r>
      <w:r>
        <w:rPr>
          <w:szCs w:val="18"/>
          <w:lang w:eastAsia="zh-CN"/>
        </w:rPr>
        <w:t xml:space="preserve"> Er wordt een appreciatie gegeven van de mate waarin organisaties voor het Nederlandse BHOS-beleid relevante resultaten behalen. Deelaspecten van effectiviteit worden beoordeeld op basis van specifieke criteria en gescoord op een vierpuntsschaal van onvoldoende, matig, voldoende en uitstekend. Daarnaast wordt aangegeven of de organisatie een positieve, een negatieve of een neutrale ontwikkeling heeft doorgemaakt sinds de scorecard 2015. Beleidsmatige relevantie en impact (resultaten) worden aangeduid met de kwalificaties relevant, beperkt relevant en niet relevant. Een samenvatting van al deze scores is te vinden in de tabellen in hoofdstuk 5.</w:t>
      </w:r>
    </w:p>
    <w:p w14:paraId="31D157B4" w14:textId="77777777" w:rsidR="00096F6B" w:rsidRDefault="00096F6B" w:rsidP="00096F6B">
      <w:pPr>
        <w:shd w:val="clear" w:color="auto" w:fill="FFFFFF"/>
        <w:spacing w:before="100" w:beforeAutospacing="1" w:after="100" w:afterAutospacing="1" w:line="240" w:lineRule="auto"/>
        <w:rPr>
          <w:szCs w:val="18"/>
          <w:lang w:eastAsia="zh-CN"/>
        </w:rPr>
      </w:pPr>
      <w:r w:rsidRPr="00307981">
        <w:rPr>
          <w:szCs w:val="18"/>
          <w:lang w:eastAsia="zh-CN"/>
        </w:rPr>
        <w:t xml:space="preserve">De scorecards </w:t>
      </w:r>
      <w:r>
        <w:rPr>
          <w:szCs w:val="18"/>
          <w:lang w:eastAsia="zh-CN"/>
        </w:rPr>
        <w:t>zijn</w:t>
      </w:r>
      <w:r w:rsidRPr="00307981">
        <w:rPr>
          <w:szCs w:val="18"/>
          <w:lang w:eastAsia="zh-CN"/>
        </w:rPr>
        <w:t xml:space="preserve"> samengesteld op basis van rapportages van de organisatie zelf, van de </w:t>
      </w:r>
      <w:r w:rsidRPr="00CA5BC9">
        <w:rPr>
          <w:i/>
          <w:szCs w:val="18"/>
          <w:lang w:eastAsia="zh-CN"/>
        </w:rPr>
        <w:t>Board of Auditors</w:t>
      </w:r>
      <w:r w:rsidRPr="00307981">
        <w:rPr>
          <w:szCs w:val="18"/>
          <w:lang w:eastAsia="zh-CN"/>
        </w:rPr>
        <w:t xml:space="preserve">, </w:t>
      </w:r>
      <w:r>
        <w:rPr>
          <w:szCs w:val="18"/>
          <w:lang w:eastAsia="zh-CN"/>
        </w:rPr>
        <w:t xml:space="preserve">interne en externe </w:t>
      </w:r>
      <w:r w:rsidRPr="00307981">
        <w:rPr>
          <w:szCs w:val="18"/>
          <w:lang w:eastAsia="zh-CN"/>
        </w:rPr>
        <w:t>evaluaties</w:t>
      </w:r>
      <w:r>
        <w:rPr>
          <w:szCs w:val="18"/>
          <w:lang w:eastAsia="zh-CN"/>
        </w:rPr>
        <w:t>,</w:t>
      </w:r>
      <w:r w:rsidRPr="00307981">
        <w:rPr>
          <w:szCs w:val="18"/>
          <w:lang w:eastAsia="zh-CN"/>
        </w:rPr>
        <w:t xml:space="preserve"> </w:t>
      </w:r>
      <w:r>
        <w:rPr>
          <w:szCs w:val="18"/>
          <w:lang w:eastAsia="zh-CN"/>
        </w:rPr>
        <w:t xml:space="preserve">beoordelingen door andere donoren en </w:t>
      </w:r>
      <w:r w:rsidRPr="00307981">
        <w:rPr>
          <w:szCs w:val="18"/>
          <w:lang w:eastAsia="zh-CN"/>
        </w:rPr>
        <w:t xml:space="preserve">van het </w:t>
      </w:r>
      <w:r w:rsidRPr="00AF36B0">
        <w:rPr>
          <w:i/>
          <w:szCs w:val="18"/>
          <w:lang w:eastAsia="zh-CN"/>
        </w:rPr>
        <w:t>Multilateral Organisations Performance Assessment Network</w:t>
      </w:r>
      <w:r w:rsidRPr="00307981">
        <w:rPr>
          <w:szCs w:val="18"/>
          <w:lang w:eastAsia="zh-CN"/>
        </w:rPr>
        <w:t xml:space="preserve"> (MOPAN)</w:t>
      </w:r>
      <w:r>
        <w:rPr>
          <w:szCs w:val="18"/>
          <w:lang w:eastAsia="zh-CN"/>
        </w:rPr>
        <w:t>.</w:t>
      </w:r>
      <w:r>
        <w:rPr>
          <w:rStyle w:val="FootnoteReference"/>
          <w:szCs w:val="18"/>
          <w:lang w:eastAsia="zh-CN"/>
        </w:rPr>
        <w:footnoteReference w:id="3"/>
      </w:r>
      <w:r>
        <w:rPr>
          <w:szCs w:val="18"/>
          <w:lang w:eastAsia="zh-CN"/>
        </w:rPr>
        <w:t xml:space="preserve"> </w:t>
      </w:r>
      <w:r w:rsidRPr="00307981">
        <w:rPr>
          <w:szCs w:val="18"/>
          <w:lang w:eastAsia="zh-CN"/>
        </w:rPr>
        <w:t>Daarnaast wordt om de input gevraagd van betrokken vakdepartementen, de Permanente Vertegenwoordigingen</w:t>
      </w:r>
      <w:r>
        <w:rPr>
          <w:szCs w:val="18"/>
          <w:lang w:eastAsia="zh-CN"/>
        </w:rPr>
        <w:t xml:space="preserve"> en</w:t>
      </w:r>
      <w:r w:rsidRPr="00307981">
        <w:rPr>
          <w:szCs w:val="18"/>
          <w:lang w:eastAsia="zh-CN"/>
        </w:rPr>
        <w:t xml:space="preserve"> Kiesgroepkantoren. Ook </w:t>
      </w:r>
      <w:r>
        <w:rPr>
          <w:szCs w:val="18"/>
          <w:lang w:eastAsia="zh-CN"/>
        </w:rPr>
        <w:t xml:space="preserve">informatie van ambassades </w:t>
      </w:r>
      <w:r w:rsidRPr="00307981">
        <w:rPr>
          <w:szCs w:val="18"/>
          <w:lang w:eastAsia="zh-CN"/>
        </w:rPr>
        <w:t xml:space="preserve">over het functioneren van landenkantoren </w:t>
      </w:r>
      <w:r>
        <w:rPr>
          <w:szCs w:val="18"/>
          <w:lang w:eastAsia="zh-CN"/>
        </w:rPr>
        <w:t>van multilaterale instellingen zijn</w:t>
      </w:r>
      <w:r w:rsidRPr="00307981">
        <w:rPr>
          <w:szCs w:val="18"/>
          <w:lang w:eastAsia="zh-CN"/>
        </w:rPr>
        <w:t xml:space="preserve"> in de scorecard </w:t>
      </w:r>
      <w:r>
        <w:rPr>
          <w:szCs w:val="18"/>
          <w:lang w:eastAsia="zh-CN"/>
        </w:rPr>
        <w:t>verwerkt.</w:t>
      </w:r>
      <w:r w:rsidRPr="00307981">
        <w:rPr>
          <w:szCs w:val="18"/>
          <w:lang w:eastAsia="zh-CN"/>
        </w:rPr>
        <w:t xml:space="preserve"> </w:t>
      </w:r>
      <w:r>
        <w:rPr>
          <w:szCs w:val="18"/>
          <w:lang w:eastAsia="zh-CN"/>
        </w:rPr>
        <w:t>De s</w:t>
      </w:r>
      <w:r w:rsidRPr="00307981">
        <w:rPr>
          <w:szCs w:val="18"/>
          <w:lang w:eastAsia="zh-CN"/>
        </w:rPr>
        <w:t xml:space="preserve">corecards </w:t>
      </w:r>
      <w:r>
        <w:rPr>
          <w:szCs w:val="18"/>
          <w:lang w:eastAsia="zh-CN"/>
        </w:rPr>
        <w:t xml:space="preserve">worden iedere twee jaar </w:t>
      </w:r>
      <w:r w:rsidRPr="00307981">
        <w:rPr>
          <w:szCs w:val="18"/>
          <w:lang w:eastAsia="zh-CN"/>
        </w:rPr>
        <w:t>geactualiseerd</w:t>
      </w:r>
      <w:r>
        <w:rPr>
          <w:szCs w:val="18"/>
          <w:lang w:eastAsia="zh-CN"/>
        </w:rPr>
        <w:t>.</w:t>
      </w:r>
      <w:r w:rsidRPr="00307981">
        <w:rPr>
          <w:szCs w:val="18"/>
          <w:lang w:eastAsia="zh-CN"/>
        </w:rPr>
        <w:t xml:space="preserve"> </w:t>
      </w:r>
    </w:p>
    <w:p w14:paraId="4EA3D269" w14:textId="0812F6D3" w:rsidR="005150FC" w:rsidRPr="00307981" w:rsidRDefault="00096F6B" w:rsidP="00096F6B">
      <w:pPr>
        <w:spacing w:line="240" w:lineRule="auto"/>
        <w:rPr>
          <w:szCs w:val="18"/>
          <w:lang w:eastAsia="zh-CN"/>
        </w:rPr>
      </w:pPr>
      <w:r>
        <w:rPr>
          <w:szCs w:val="18"/>
          <w:lang w:eastAsia="zh-CN"/>
        </w:rPr>
        <w:br w:type="page"/>
      </w:r>
      <w:bookmarkEnd w:id="19"/>
    </w:p>
    <w:p w14:paraId="7246D2C1" w14:textId="3ABDDFAD" w:rsidR="00D745A7" w:rsidRDefault="00F24A31" w:rsidP="00364628">
      <w:pPr>
        <w:pStyle w:val="Heading1"/>
        <w:numPr>
          <w:ilvl w:val="0"/>
          <w:numId w:val="50"/>
        </w:numPr>
        <w:spacing w:after="240" w:line="240" w:lineRule="auto"/>
      </w:pPr>
      <w:r>
        <w:lastRenderedPageBreak/>
        <w:tab/>
      </w:r>
      <w:r w:rsidR="00844CC1">
        <w:t xml:space="preserve"> </w:t>
      </w:r>
      <w:r w:rsidR="00844CC1">
        <w:tab/>
      </w:r>
      <w:r w:rsidR="00844CC1">
        <w:tab/>
      </w:r>
      <w:r w:rsidR="00844CC1">
        <w:tab/>
        <w:t xml:space="preserve">      </w:t>
      </w:r>
      <w:bookmarkStart w:id="20" w:name="_Toc491268959"/>
      <w:r w:rsidR="00D745A7">
        <w:t>Algemene achtergrond</w:t>
      </w:r>
      <w:bookmarkEnd w:id="20"/>
    </w:p>
    <w:p w14:paraId="7246D2C3" w14:textId="25C98EFC" w:rsidR="009C4AAC" w:rsidRDefault="0055776D" w:rsidP="00844CC1">
      <w:pPr>
        <w:pStyle w:val="Heading2"/>
        <w:numPr>
          <w:ilvl w:val="1"/>
          <w:numId w:val="50"/>
        </w:numPr>
        <w:tabs>
          <w:tab w:val="left" w:pos="-1162"/>
          <w:tab w:val="left" w:pos="0"/>
        </w:tabs>
        <w:spacing w:line="240" w:lineRule="auto"/>
      </w:pPr>
      <w:bookmarkStart w:id="21" w:name="_Toc491268960"/>
      <w:r>
        <w:t>Doelstelling</w:t>
      </w:r>
      <w:r w:rsidR="00FC6EC6">
        <w:t xml:space="preserve"> en toegevoegde waarde</w:t>
      </w:r>
      <w:bookmarkEnd w:id="21"/>
    </w:p>
    <w:p w14:paraId="7246D2C4" w14:textId="2ED1D1CF" w:rsidR="0019000D" w:rsidRDefault="000210F3" w:rsidP="00C70E17">
      <w:r>
        <w:t xml:space="preserve">De oprichting van het </w:t>
      </w:r>
      <w:r w:rsidR="0019000D" w:rsidRPr="007071F2">
        <w:rPr>
          <w:i/>
        </w:rPr>
        <w:t>United Nations Development Programme</w:t>
      </w:r>
      <w:r w:rsidR="0019000D" w:rsidRPr="007071F2">
        <w:t xml:space="preserve"> (UNDP) </w:t>
      </w:r>
      <w:r w:rsidR="0019000D">
        <w:t xml:space="preserve">in 1965 </w:t>
      </w:r>
      <w:r>
        <w:t xml:space="preserve">door de Algemene Vergadering van de Verenigde Naties (AVVN) is vastgelegd in </w:t>
      </w:r>
      <w:r w:rsidR="0019000D">
        <w:t>resolutie 2029. Het mandaat van de organisatie omvat operationele ondersteuning van landen bij het realiseren van ontwikkelingsdoelstellingen en coördinatie en bevordering van effectiviteit en efficiëntie van het VN-ontwikkelingssysteem</w:t>
      </w:r>
      <w:r>
        <w:t xml:space="preserve">. </w:t>
      </w:r>
      <w:r w:rsidR="0019000D">
        <w:t xml:space="preserve">UNDP heeft wereldwijde presentie en </w:t>
      </w:r>
      <w:r>
        <w:t xml:space="preserve">wordt gezien </w:t>
      </w:r>
      <w:r w:rsidR="0019000D">
        <w:t xml:space="preserve">als </w:t>
      </w:r>
      <w:r>
        <w:t xml:space="preserve">een </w:t>
      </w:r>
      <w:r w:rsidR="0019000D">
        <w:t xml:space="preserve">betrouwbare en neutrale samenwerkingspartner </w:t>
      </w:r>
      <w:r>
        <w:t xml:space="preserve">die </w:t>
      </w:r>
      <w:r w:rsidR="0019000D">
        <w:t xml:space="preserve">ook actief </w:t>
      </w:r>
      <w:r>
        <w:t xml:space="preserve">is </w:t>
      </w:r>
      <w:r w:rsidR="0019000D">
        <w:t>op gevoelige terreinen zoals democratisering en ontwikkeling van de rechtsstaat. UNDP heeft het vermogen verschillende spelers bij elkaar te brengen, is voorzitter van de VN-ontwikkelingsgroep</w:t>
      </w:r>
      <w:r w:rsidR="00963642">
        <w:t>,</w:t>
      </w:r>
      <w:r w:rsidR="0019000D">
        <w:t xml:space="preserve"> speelt een centrale rol in VN-hervormingen</w:t>
      </w:r>
      <w:r w:rsidR="00963642">
        <w:t xml:space="preserve"> en is </w:t>
      </w:r>
      <w:r w:rsidR="00C950A6">
        <w:t xml:space="preserve">verantwoordelijk voor de coördinatie </w:t>
      </w:r>
      <w:r w:rsidR="00963642">
        <w:t xml:space="preserve">van het </w:t>
      </w:r>
      <w:r w:rsidR="00963642" w:rsidRPr="00963642">
        <w:rPr>
          <w:i/>
        </w:rPr>
        <w:t>Resident Coördinator</w:t>
      </w:r>
      <w:r w:rsidR="00963642">
        <w:t xml:space="preserve"> </w:t>
      </w:r>
      <w:r w:rsidR="00C70E17">
        <w:t xml:space="preserve">(RC) </w:t>
      </w:r>
      <w:r w:rsidR="00963642">
        <w:t xml:space="preserve">systeem. </w:t>
      </w:r>
      <w:r w:rsidR="00C70E17">
        <w:t xml:space="preserve">De RC’s overzien alle VN organisaties die binnen een land actief zijn en zijn verantwoordelijk voor de totstandkoming van afspraken met de overheid, de verdeling van fondsen voor gezamenlijke programma’s en bevordering van effectiviteit, efficiëntie en samenwerking tussen de organisaties. In sommige gevallen treden zij ook op als </w:t>
      </w:r>
      <w:r w:rsidR="00C70E17" w:rsidRPr="00C70E17">
        <w:rPr>
          <w:i/>
        </w:rPr>
        <w:t>Humanitarian Coördinator</w:t>
      </w:r>
      <w:r w:rsidR="00C70E17">
        <w:t xml:space="preserve">. </w:t>
      </w:r>
      <w:r w:rsidR="0019000D">
        <w:t xml:space="preserve">UNDP vormt hiermee een spil in het VN-systeem </w:t>
      </w:r>
      <w:r w:rsidR="00963642">
        <w:t xml:space="preserve">(lees systeem organisatie) </w:t>
      </w:r>
      <w:r w:rsidR="0019000D">
        <w:t xml:space="preserve">en </w:t>
      </w:r>
      <w:r w:rsidR="00B426F7">
        <w:t xml:space="preserve">is </w:t>
      </w:r>
      <w:r w:rsidR="00963642">
        <w:t xml:space="preserve">daarmee </w:t>
      </w:r>
      <w:r w:rsidR="0019000D">
        <w:t xml:space="preserve">voor Nederland, </w:t>
      </w:r>
      <w:r w:rsidR="00963642">
        <w:t>zeker</w:t>
      </w:r>
      <w:r w:rsidR="0019000D">
        <w:t xml:space="preserve"> in fragiele staten, een belangrijke partner. </w:t>
      </w:r>
    </w:p>
    <w:p w14:paraId="426ABCD4" w14:textId="77777777" w:rsidR="00844CC1" w:rsidRDefault="00844CC1" w:rsidP="00C70E17"/>
    <w:p w14:paraId="4E14DE08" w14:textId="77777777" w:rsidR="00844CC1" w:rsidRDefault="00844CC1" w:rsidP="00C70E17"/>
    <w:p w14:paraId="034C277B" w14:textId="77777777" w:rsidR="00844CC1" w:rsidRPr="00844CC1" w:rsidRDefault="00844CC1" w:rsidP="00844CC1">
      <w:pPr>
        <w:pStyle w:val="ListParagraph"/>
        <w:numPr>
          <w:ilvl w:val="1"/>
          <w:numId w:val="50"/>
        </w:numPr>
        <w:rPr>
          <w:b/>
        </w:rPr>
      </w:pPr>
      <w:r w:rsidRPr="00844CC1">
        <w:rPr>
          <w:b/>
        </w:rPr>
        <w:t>Organisatie, werkwijze en activiteiten</w:t>
      </w:r>
    </w:p>
    <w:p w14:paraId="7246D2CB" w14:textId="3072A74D" w:rsidR="00416D03" w:rsidRDefault="00416D03" w:rsidP="00416D03">
      <w:r w:rsidRPr="007E4C7C">
        <w:t>UNDP rapporte</w:t>
      </w:r>
      <w:r>
        <w:t xml:space="preserve">ert </w:t>
      </w:r>
      <w:r w:rsidRPr="007E4C7C">
        <w:t xml:space="preserve">aan </w:t>
      </w:r>
      <w:r>
        <w:t>de Economische en Sociale Raad van de VN</w:t>
      </w:r>
      <w:r w:rsidR="00B81B88">
        <w:t xml:space="preserve"> (ECOSOC)</w:t>
      </w:r>
      <w:r w:rsidRPr="007E4C7C">
        <w:t xml:space="preserve">. </w:t>
      </w:r>
      <w:r>
        <w:t xml:space="preserve">Bestuurlijk heeft </w:t>
      </w:r>
      <w:r w:rsidRPr="007E4C7C">
        <w:t xml:space="preserve">UNDP </w:t>
      </w:r>
      <w:r>
        <w:t xml:space="preserve">een </w:t>
      </w:r>
      <w:r w:rsidRPr="007E4C7C">
        <w:t xml:space="preserve">Uitvoerende Raad </w:t>
      </w:r>
      <w:r>
        <w:t xml:space="preserve">(UR) waarin 36 lidstaten op rotatiebasis zitting hebben. </w:t>
      </w:r>
      <w:r w:rsidR="009234B2">
        <w:t xml:space="preserve">Deze UR komt drie maal per jaar bijeen en is in gezamenlijkheid met </w:t>
      </w:r>
      <w:r w:rsidRPr="007E4C7C">
        <w:t xml:space="preserve">UNFPA </w:t>
      </w:r>
      <w:r>
        <w:t>en UNOPS</w:t>
      </w:r>
      <w:r w:rsidRPr="007E4C7C">
        <w:t xml:space="preserve">. De </w:t>
      </w:r>
      <w:r>
        <w:t>Raad</w:t>
      </w:r>
      <w:r w:rsidRPr="007E4C7C">
        <w:t xml:space="preserve"> </w:t>
      </w:r>
      <w:r w:rsidR="009234B2">
        <w:t xml:space="preserve">stelt </w:t>
      </w:r>
      <w:r w:rsidRPr="007E4C7C">
        <w:t>de algemene beleids</w:t>
      </w:r>
      <w:r w:rsidR="009234B2">
        <w:t xml:space="preserve">richting vast en </w:t>
      </w:r>
      <w:r w:rsidRPr="007E4C7C">
        <w:t xml:space="preserve">controleert </w:t>
      </w:r>
      <w:r w:rsidR="009234B2">
        <w:t xml:space="preserve">de uitvoering hiervan. De organisatie wordt geleid door een </w:t>
      </w:r>
      <w:r w:rsidR="009234B2" w:rsidRPr="00C826C7">
        <w:rPr>
          <w:i/>
        </w:rPr>
        <w:t>Administrator</w:t>
      </w:r>
      <w:r w:rsidR="005B0686">
        <w:rPr>
          <w:i/>
        </w:rPr>
        <w:t>. D</w:t>
      </w:r>
      <w:r w:rsidR="009234B2">
        <w:t xml:space="preserve">it is de derde VN functionaris in rang na de Secretaris General en zijn/haar plaatsvervanger. </w:t>
      </w:r>
      <w:r w:rsidR="005B0686">
        <w:t>S</w:t>
      </w:r>
      <w:r w:rsidRPr="007E4C7C">
        <w:t xml:space="preserve">inds april </w:t>
      </w:r>
      <w:r w:rsidR="00561CEF">
        <w:t xml:space="preserve">2017 </w:t>
      </w:r>
      <w:r w:rsidR="005B0686">
        <w:t xml:space="preserve">is dit </w:t>
      </w:r>
      <w:r w:rsidR="00561CEF">
        <w:t>de Duitse</w:t>
      </w:r>
      <w:r w:rsidR="005B0686">
        <w:t>r</w:t>
      </w:r>
      <w:r w:rsidR="00561CEF">
        <w:t xml:space="preserve"> Achim Steiner. Hij volgt </w:t>
      </w:r>
      <w:r w:rsidRPr="007E4C7C">
        <w:t>Helen Clark</w:t>
      </w:r>
      <w:r>
        <w:t xml:space="preserve"> </w:t>
      </w:r>
      <w:r w:rsidR="00561CEF">
        <w:t xml:space="preserve">op </w:t>
      </w:r>
      <w:r>
        <w:t>(</w:t>
      </w:r>
      <w:r w:rsidR="00E175E1">
        <w:t xml:space="preserve">voormalig Premier van </w:t>
      </w:r>
      <w:r>
        <w:t>Nieuw-Zeeland</w:t>
      </w:r>
      <w:r w:rsidRPr="007E4C7C">
        <w:t>)</w:t>
      </w:r>
      <w:r>
        <w:t xml:space="preserve">, </w:t>
      </w:r>
      <w:r w:rsidR="00561CEF">
        <w:t>d</w:t>
      </w:r>
      <w:r>
        <w:t>ie</w:t>
      </w:r>
      <w:r w:rsidR="00561CEF">
        <w:t xml:space="preserve"> de organisatie </w:t>
      </w:r>
      <w:r>
        <w:t>twee</w:t>
      </w:r>
      <w:r w:rsidR="00561CEF">
        <w:t xml:space="preserve"> termijnen heeft geleid van 2009 tot </w:t>
      </w:r>
      <w:r>
        <w:t xml:space="preserve">2017. </w:t>
      </w:r>
      <w:r w:rsidRPr="007E4C7C">
        <w:t>UNDP</w:t>
      </w:r>
      <w:r w:rsidR="00E175E1">
        <w:t xml:space="preserve">’s hoofdkantoor staat in New York. Daarnaast zijn </w:t>
      </w:r>
      <w:r w:rsidR="002A0AAE">
        <w:t xml:space="preserve">er </w:t>
      </w:r>
      <w:r w:rsidR="00B81B88">
        <w:t xml:space="preserve">vijf </w:t>
      </w:r>
      <w:r w:rsidR="00E175E1">
        <w:t>regionale</w:t>
      </w:r>
      <w:r w:rsidR="002A0AAE">
        <w:t xml:space="preserve">, 129 landenkantoren en </w:t>
      </w:r>
      <w:r w:rsidR="00B81B88">
        <w:t>zes</w:t>
      </w:r>
      <w:r>
        <w:t xml:space="preserve"> kenniscentra. </w:t>
      </w:r>
      <w:r w:rsidR="002A0AAE">
        <w:t>Alles bij elkaar is UNDP in bijna 170 landen actief</w:t>
      </w:r>
      <w:r w:rsidR="00B81B88">
        <w:t xml:space="preserve"> en </w:t>
      </w:r>
      <w:r w:rsidR="002A0AAE">
        <w:t xml:space="preserve">heeft </w:t>
      </w:r>
      <w:r w:rsidR="00B81B88">
        <w:t xml:space="preserve">de organisatie </w:t>
      </w:r>
      <w:r w:rsidR="002A0AAE">
        <w:t>cir</w:t>
      </w:r>
      <w:r>
        <w:t>ca 7</w:t>
      </w:r>
      <w:r w:rsidR="00E175E1">
        <w:t>,</w:t>
      </w:r>
      <w:r>
        <w:t>600 personeelsleden en ruim 9</w:t>
      </w:r>
      <w:r w:rsidR="00E175E1">
        <w:t>,</w:t>
      </w:r>
      <w:r>
        <w:t xml:space="preserve">800 contractanten in </w:t>
      </w:r>
      <w:r w:rsidR="002A0AAE">
        <w:t>dienst</w:t>
      </w:r>
      <w:r>
        <w:t xml:space="preserve">. </w:t>
      </w:r>
    </w:p>
    <w:p w14:paraId="7246D2CC" w14:textId="77777777" w:rsidR="00416D03" w:rsidRDefault="00416D03" w:rsidP="00416D03"/>
    <w:p w14:paraId="7246D2CD" w14:textId="3D742D1F" w:rsidR="00416D03" w:rsidRDefault="00BF1CAE" w:rsidP="00416D03">
      <w:r>
        <w:t xml:space="preserve">De centrale doelstelling van </w:t>
      </w:r>
      <w:r w:rsidR="00416D03">
        <w:t xml:space="preserve">UNDP </w:t>
      </w:r>
      <w:r>
        <w:t xml:space="preserve">is het </w:t>
      </w:r>
      <w:r w:rsidR="00416D03">
        <w:t xml:space="preserve">ondersteunen </w:t>
      </w:r>
      <w:r>
        <w:t xml:space="preserve">van landen </w:t>
      </w:r>
      <w:r w:rsidR="00416D03">
        <w:t xml:space="preserve">bij armoedebestrijding en bij </w:t>
      </w:r>
      <w:r>
        <w:t xml:space="preserve">het </w:t>
      </w:r>
      <w:r w:rsidR="00416D03">
        <w:t>verminder</w:t>
      </w:r>
      <w:r w:rsidR="00B81B88">
        <w:t>en</w:t>
      </w:r>
      <w:r w:rsidR="00416D03">
        <w:t xml:space="preserve"> van ongelijkheid en uitsluiting. </w:t>
      </w:r>
      <w:r>
        <w:t xml:space="preserve">De uitvoering van dit mandaat wordt vastgelegd in het </w:t>
      </w:r>
      <w:r w:rsidR="004E179D">
        <w:t xml:space="preserve">Strategisch Plan </w:t>
      </w:r>
      <w:r>
        <w:t>(</w:t>
      </w:r>
      <w:r w:rsidR="004E179D">
        <w:t>S</w:t>
      </w:r>
      <w:r>
        <w:t xml:space="preserve">P), dat een 4-jarige cyclus heeft. Het huidige </w:t>
      </w:r>
      <w:r w:rsidR="004E179D">
        <w:t>SP</w:t>
      </w:r>
      <w:r>
        <w:t xml:space="preserve"> (2014-2017) heeft </w:t>
      </w:r>
      <w:r w:rsidR="00416D03" w:rsidRPr="00BF1CAE">
        <w:t>zeven resultaatgebieden</w:t>
      </w:r>
      <w:r w:rsidR="00416D03">
        <w:t xml:space="preserve">: </w:t>
      </w:r>
    </w:p>
    <w:p w14:paraId="7246D2CE" w14:textId="77777777" w:rsidR="00416D03" w:rsidRPr="00CB616E" w:rsidRDefault="00416D03" w:rsidP="00416D03">
      <w:pPr>
        <w:numPr>
          <w:ilvl w:val="0"/>
          <w:numId w:val="40"/>
        </w:numPr>
        <w:rPr>
          <w:szCs w:val="18"/>
        </w:rPr>
      </w:pPr>
      <w:r w:rsidRPr="00CB616E">
        <w:rPr>
          <w:szCs w:val="18"/>
        </w:rPr>
        <w:t>duurzame en inclusieve groei</w:t>
      </w:r>
      <w:r>
        <w:rPr>
          <w:szCs w:val="18"/>
        </w:rPr>
        <w:t>,</w:t>
      </w:r>
      <w:r w:rsidRPr="00CB616E">
        <w:rPr>
          <w:szCs w:val="18"/>
        </w:rPr>
        <w:t xml:space="preserve"> bevorderen werkgelegenheid en middelen van bestaan voor de armen</w:t>
      </w:r>
      <w:r>
        <w:rPr>
          <w:szCs w:val="18"/>
        </w:rPr>
        <w:t>;</w:t>
      </w:r>
    </w:p>
    <w:p w14:paraId="7246D2CF" w14:textId="77777777" w:rsidR="00416D03" w:rsidRPr="00CB616E" w:rsidRDefault="00416D03" w:rsidP="00416D03">
      <w:pPr>
        <w:numPr>
          <w:ilvl w:val="0"/>
          <w:numId w:val="40"/>
        </w:numPr>
        <w:rPr>
          <w:szCs w:val="18"/>
        </w:rPr>
      </w:pPr>
      <w:r w:rsidRPr="00CB616E">
        <w:rPr>
          <w:szCs w:val="18"/>
        </w:rPr>
        <w:t>democratisch bestuur, dat ruimte biedt voor inspraak van burgers, ontwikkeling bevordert, en de rechtsstaat en verantwoording van het bestuur versterkt</w:t>
      </w:r>
      <w:r>
        <w:rPr>
          <w:szCs w:val="18"/>
        </w:rPr>
        <w:t>;</w:t>
      </w:r>
    </w:p>
    <w:p w14:paraId="7246D2D0" w14:textId="77777777" w:rsidR="00416D03" w:rsidRPr="00CB616E" w:rsidRDefault="00416D03" w:rsidP="00416D03">
      <w:pPr>
        <w:numPr>
          <w:ilvl w:val="0"/>
          <w:numId w:val="40"/>
        </w:numPr>
        <w:rPr>
          <w:szCs w:val="18"/>
        </w:rPr>
      </w:pPr>
      <w:r w:rsidRPr="00CB616E">
        <w:rPr>
          <w:szCs w:val="18"/>
        </w:rPr>
        <w:t>landen beschikken over instituties die in toenemende mate in staat zijn om universele toegang tot basisdienstverlening te leveren</w:t>
      </w:r>
      <w:r>
        <w:rPr>
          <w:szCs w:val="18"/>
        </w:rPr>
        <w:t>;</w:t>
      </w:r>
    </w:p>
    <w:p w14:paraId="7246D2D1" w14:textId="77777777" w:rsidR="00416D03" w:rsidRPr="00CB616E" w:rsidRDefault="00416D03" w:rsidP="00416D03">
      <w:pPr>
        <w:numPr>
          <w:ilvl w:val="0"/>
          <w:numId w:val="40"/>
        </w:numPr>
        <w:rPr>
          <w:szCs w:val="18"/>
        </w:rPr>
      </w:pPr>
      <w:r w:rsidRPr="00CB616E">
        <w:rPr>
          <w:szCs w:val="18"/>
        </w:rPr>
        <w:t>snellere vooruitgang op vermindering van gender</w:t>
      </w:r>
      <w:r w:rsidR="00B81B88">
        <w:rPr>
          <w:szCs w:val="18"/>
        </w:rPr>
        <w:t xml:space="preserve"> </w:t>
      </w:r>
      <w:r w:rsidRPr="00CB616E">
        <w:rPr>
          <w:szCs w:val="18"/>
        </w:rPr>
        <w:t xml:space="preserve">ongelijkheid en bevordering van </w:t>
      </w:r>
      <w:r w:rsidR="00F808F3" w:rsidRPr="00300220">
        <w:rPr>
          <w:i/>
          <w:szCs w:val="18"/>
        </w:rPr>
        <w:t>empowerment</w:t>
      </w:r>
      <w:r w:rsidRPr="00CB616E">
        <w:rPr>
          <w:szCs w:val="18"/>
        </w:rPr>
        <w:t xml:space="preserve"> van vrouwen</w:t>
      </w:r>
      <w:r>
        <w:rPr>
          <w:szCs w:val="18"/>
        </w:rPr>
        <w:t>;</w:t>
      </w:r>
    </w:p>
    <w:p w14:paraId="7246D2D2" w14:textId="77777777" w:rsidR="00416D03" w:rsidRPr="00CB616E" w:rsidRDefault="00416D03" w:rsidP="00416D03">
      <w:pPr>
        <w:numPr>
          <w:ilvl w:val="0"/>
          <w:numId w:val="40"/>
        </w:numPr>
        <w:rPr>
          <w:szCs w:val="18"/>
        </w:rPr>
      </w:pPr>
      <w:r w:rsidRPr="00CB616E">
        <w:rPr>
          <w:szCs w:val="18"/>
        </w:rPr>
        <w:t>landen zijn in staat de kans op conflict of natuurrampen, ook ten gevolge van klimaatverandering, te verminderen</w:t>
      </w:r>
      <w:r>
        <w:rPr>
          <w:szCs w:val="18"/>
        </w:rPr>
        <w:t>;</w:t>
      </w:r>
    </w:p>
    <w:p w14:paraId="7246D2D3" w14:textId="77777777" w:rsidR="00416D03" w:rsidRPr="00CB616E" w:rsidRDefault="00416D03" w:rsidP="00416D03">
      <w:pPr>
        <w:numPr>
          <w:ilvl w:val="0"/>
          <w:numId w:val="40"/>
        </w:numPr>
        <w:rPr>
          <w:szCs w:val="18"/>
        </w:rPr>
      </w:pPr>
      <w:r w:rsidRPr="00CB616E">
        <w:rPr>
          <w:szCs w:val="18"/>
        </w:rPr>
        <w:t>herstel en wederopbouw worden zo snel mogelijk na conflict of ramp in gang gezet</w:t>
      </w:r>
      <w:r>
        <w:rPr>
          <w:szCs w:val="18"/>
        </w:rPr>
        <w:t>;</w:t>
      </w:r>
    </w:p>
    <w:p w14:paraId="7246D2D4" w14:textId="77777777" w:rsidR="00416D03" w:rsidRPr="00CB616E" w:rsidRDefault="00416D03" w:rsidP="00416D03">
      <w:pPr>
        <w:numPr>
          <w:ilvl w:val="0"/>
          <w:numId w:val="40"/>
        </w:numPr>
        <w:rPr>
          <w:szCs w:val="18"/>
        </w:rPr>
      </w:pPr>
      <w:r w:rsidRPr="00CB616E">
        <w:rPr>
          <w:szCs w:val="18"/>
        </w:rPr>
        <w:t xml:space="preserve">het ontwikkelingsdebat en acties op alle niveaus geven prioriteit aan bestrijding van armoede en uitsluiting. </w:t>
      </w:r>
    </w:p>
    <w:p w14:paraId="7246D2D5" w14:textId="77777777" w:rsidR="00416D03" w:rsidRPr="00CB616E" w:rsidRDefault="00416D03" w:rsidP="00416D03">
      <w:pPr>
        <w:rPr>
          <w:sz w:val="16"/>
          <w:szCs w:val="16"/>
        </w:rPr>
      </w:pPr>
    </w:p>
    <w:p w14:paraId="7246D2D6" w14:textId="6737ACDA" w:rsidR="00416D03" w:rsidRDefault="004E179D" w:rsidP="00416D03">
      <w:r>
        <w:t>In de uitvoering van het mandaat heeft UNDP een brede portefeuille met a</w:t>
      </w:r>
      <w:r w:rsidR="00416D03">
        <w:t xml:space="preserve">ctiviteiten </w:t>
      </w:r>
      <w:r>
        <w:t xml:space="preserve">met daarin: </w:t>
      </w:r>
      <w:r w:rsidR="00416D03">
        <w:t>capacit</w:t>
      </w:r>
      <w:r>
        <w:t>eitsopbouw, ontwikkeling van in</w:t>
      </w:r>
      <w:r w:rsidR="00416D03">
        <w:t>novatieve benaderingen, advies en ondersteuning van beleids- en wetsontwikkeling en uitvoering</w:t>
      </w:r>
      <w:r>
        <w:t>, waarbij het accent ligt</w:t>
      </w:r>
      <w:r w:rsidR="00416D03">
        <w:t xml:space="preserve"> </w:t>
      </w:r>
      <w:r>
        <w:t>op</w:t>
      </w:r>
      <w:r w:rsidR="00416D03">
        <w:t xml:space="preserve"> de armste landen. </w:t>
      </w:r>
      <w:r>
        <w:t xml:space="preserve">Er is </w:t>
      </w:r>
      <w:r w:rsidR="005672DF">
        <w:t>hier</w:t>
      </w:r>
      <w:r w:rsidR="005175CE">
        <w:t>toe</w:t>
      </w:r>
      <w:r>
        <w:t xml:space="preserve"> </w:t>
      </w:r>
      <w:r w:rsidR="005672DF">
        <w:t xml:space="preserve">in 2013 in de Uitvoerende Raad </w:t>
      </w:r>
      <w:r>
        <w:t>een afspraak gemaakt</w:t>
      </w:r>
      <w:r w:rsidR="005175CE">
        <w:t>: v</w:t>
      </w:r>
      <w:r w:rsidR="00416D03">
        <w:t xml:space="preserve">oor de verdeling van UNDP’s programmafondsen is een verdeelsleutel afgesproken waarbij minimaal 85% naar lage inkomenslanden gaat, maximaal 15% naar midden inkomenslanden. </w:t>
      </w:r>
      <w:r w:rsidR="005672DF">
        <w:t xml:space="preserve">De budgetten en verwachte inkomsten zijn vastgelegd in UNDP’s </w:t>
      </w:r>
      <w:r w:rsidR="005672DF" w:rsidRPr="005672DF">
        <w:rPr>
          <w:i/>
        </w:rPr>
        <w:t>integrated budget estimates</w:t>
      </w:r>
      <w:r w:rsidR="005672DF">
        <w:t xml:space="preserve"> (2014-2017)</w:t>
      </w:r>
      <w:r w:rsidR="00300220">
        <w:t>.</w:t>
      </w:r>
    </w:p>
    <w:p w14:paraId="7246D2D7" w14:textId="77777777" w:rsidR="004E179D" w:rsidRDefault="004E179D" w:rsidP="00416D03">
      <w:pPr>
        <w:rPr>
          <w:szCs w:val="18"/>
        </w:rPr>
      </w:pPr>
    </w:p>
    <w:p w14:paraId="0983B06B" w14:textId="6138B522" w:rsidR="00300220" w:rsidRDefault="00416D03" w:rsidP="00300220">
      <w:pPr>
        <w:jc w:val="both"/>
        <w:rPr>
          <w:szCs w:val="18"/>
        </w:rPr>
      </w:pPr>
      <w:r w:rsidRPr="007F4BEB">
        <w:rPr>
          <w:szCs w:val="18"/>
        </w:rPr>
        <w:t xml:space="preserve">UNDP is actief betrokken bij </w:t>
      </w:r>
      <w:r w:rsidR="00B81B88">
        <w:rPr>
          <w:szCs w:val="18"/>
        </w:rPr>
        <w:t xml:space="preserve">de </w:t>
      </w:r>
      <w:r w:rsidRPr="007F4BEB">
        <w:rPr>
          <w:szCs w:val="18"/>
        </w:rPr>
        <w:t xml:space="preserve">uitvoering van de </w:t>
      </w:r>
      <w:r>
        <w:rPr>
          <w:szCs w:val="18"/>
        </w:rPr>
        <w:t xml:space="preserve">VN brede beleidsafspraken </w:t>
      </w:r>
      <w:r w:rsidR="006215C6">
        <w:rPr>
          <w:szCs w:val="18"/>
        </w:rPr>
        <w:t xml:space="preserve">uit de </w:t>
      </w:r>
      <w:r w:rsidRPr="00A4611C">
        <w:rPr>
          <w:i/>
          <w:szCs w:val="18"/>
        </w:rPr>
        <w:t>Quadrennial Comprehensive Policy Review</w:t>
      </w:r>
      <w:r w:rsidR="006215C6">
        <w:rPr>
          <w:i/>
          <w:szCs w:val="18"/>
        </w:rPr>
        <w:t xml:space="preserve"> </w:t>
      </w:r>
      <w:r w:rsidR="006215C6">
        <w:rPr>
          <w:szCs w:val="18"/>
        </w:rPr>
        <w:t>Resolutie (</w:t>
      </w:r>
      <w:r>
        <w:rPr>
          <w:i/>
          <w:szCs w:val="18"/>
        </w:rPr>
        <w:t>QCPR</w:t>
      </w:r>
      <w:r w:rsidRPr="00A4611C">
        <w:rPr>
          <w:i/>
          <w:szCs w:val="18"/>
        </w:rPr>
        <w:t>)</w:t>
      </w:r>
      <w:r>
        <w:rPr>
          <w:i/>
          <w:szCs w:val="18"/>
        </w:rPr>
        <w:t xml:space="preserve">, </w:t>
      </w:r>
      <w:r>
        <w:rPr>
          <w:szCs w:val="18"/>
        </w:rPr>
        <w:t>zoals harmonisatie van procedures en versterking van de kwaliteit en coördinerende rol van VN-</w:t>
      </w:r>
      <w:r w:rsidR="00B81B88" w:rsidRPr="00963642">
        <w:rPr>
          <w:i/>
        </w:rPr>
        <w:t>Resident Coördinator</w:t>
      </w:r>
      <w:r w:rsidR="00B81B88">
        <w:rPr>
          <w:i/>
        </w:rPr>
        <w:t xml:space="preserve">s </w:t>
      </w:r>
      <w:r>
        <w:rPr>
          <w:szCs w:val="18"/>
        </w:rPr>
        <w:t>ter ondersteuning van</w:t>
      </w:r>
      <w:r w:rsidR="00B81B88">
        <w:rPr>
          <w:szCs w:val="18"/>
        </w:rPr>
        <w:t xml:space="preserve"> de hervormingen onder</w:t>
      </w:r>
      <w:r>
        <w:rPr>
          <w:szCs w:val="18"/>
        </w:rPr>
        <w:t xml:space="preserve"> </w:t>
      </w:r>
      <w:r w:rsidR="006215C6">
        <w:rPr>
          <w:i/>
          <w:szCs w:val="18"/>
        </w:rPr>
        <w:t>Delivering as One</w:t>
      </w:r>
      <w:r w:rsidRPr="007F4BEB">
        <w:rPr>
          <w:szCs w:val="18"/>
        </w:rPr>
        <w:t>.</w:t>
      </w:r>
      <w:r>
        <w:rPr>
          <w:szCs w:val="18"/>
        </w:rPr>
        <w:t xml:space="preserve"> </w:t>
      </w:r>
      <w:r w:rsidR="006215C6">
        <w:rPr>
          <w:szCs w:val="18"/>
        </w:rPr>
        <w:t>In het jaarlijkse rapport aan de UR is hiervoor een aparte sectie opgenomen</w:t>
      </w:r>
      <w:r w:rsidR="00300220">
        <w:rPr>
          <w:szCs w:val="18"/>
        </w:rPr>
        <w:t>.</w:t>
      </w:r>
      <w:r w:rsidR="006215C6">
        <w:rPr>
          <w:szCs w:val="18"/>
        </w:rPr>
        <w:t xml:space="preserve"> </w:t>
      </w:r>
      <w:r>
        <w:rPr>
          <w:szCs w:val="18"/>
        </w:rPr>
        <w:t xml:space="preserve">UNDP </w:t>
      </w:r>
      <w:r w:rsidR="006215C6">
        <w:rPr>
          <w:szCs w:val="18"/>
        </w:rPr>
        <w:t xml:space="preserve">heeft </w:t>
      </w:r>
      <w:r>
        <w:rPr>
          <w:szCs w:val="18"/>
        </w:rPr>
        <w:t xml:space="preserve">met andere organisaties een model </w:t>
      </w:r>
      <w:r w:rsidR="006215C6">
        <w:rPr>
          <w:szCs w:val="18"/>
        </w:rPr>
        <w:t xml:space="preserve">ontwikkeld </w:t>
      </w:r>
      <w:r>
        <w:rPr>
          <w:szCs w:val="18"/>
        </w:rPr>
        <w:t xml:space="preserve">voor </w:t>
      </w:r>
      <w:r w:rsidR="006215C6">
        <w:rPr>
          <w:szCs w:val="18"/>
        </w:rPr>
        <w:t xml:space="preserve">de </w:t>
      </w:r>
      <w:r>
        <w:rPr>
          <w:szCs w:val="18"/>
        </w:rPr>
        <w:t>presentatie van landenprogramma's en voor monitoring van capaciteitsopbouw. UNDP</w:t>
      </w:r>
      <w:r w:rsidR="007818B9">
        <w:rPr>
          <w:szCs w:val="18"/>
        </w:rPr>
        <w:t xml:space="preserve"> neemt deel </w:t>
      </w:r>
      <w:r>
        <w:rPr>
          <w:szCs w:val="18"/>
        </w:rPr>
        <w:t>in initiatieven voor gezamenlijke diensten</w:t>
      </w:r>
      <w:r w:rsidR="007818B9">
        <w:rPr>
          <w:szCs w:val="18"/>
        </w:rPr>
        <w:t xml:space="preserve"> en </w:t>
      </w:r>
      <w:r w:rsidRPr="007F4BEB">
        <w:rPr>
          <w:szCs w:val="18"/>
        </w:rPr>
        <w:t xml:space="preserve">ondersteunt transitie van hulp naar ontwikkeling als lid van de </w:t>
      </w:r>
      <w:r w:rsidRPr="00D27E28">
        <w:rPr>
          <w:i/>
          <w:szCs w:val="18"/>
        </w:rPr>
        <w:t>Inter Agency St</w:t>
      </w:r>
      <w:r w:rsidR="005B0686">
        <w:rPr>
          <w:i/>
          <w:szCs w:val="18"/>
        </w:rPr>
        <w:t>anding</w:t>
      </w:r>
      <w:r w:rsidRPr="00D27E28">
        <w:rPr>
          <w:i/>
          <w:szCs w:val="18"/>
        </w:rPr>
        <w:t xml:space="preserve"> Committee</w:t>
      </w:r>
      <w:r w:rsidRPr="007F4BEB">
        <w:rPr>
          <w:szCs w:val="18"/>
        </w:rPr>
        <w:t xml:space="preserve">. </w:t>
      </w:r>
      <w:r>
        <w:rPr>
          <w:szCs w:val="18"/>
        </w:rPr>
        <w:t>In lijn met de afspraken in de QCPR zijn in het Strategisch Pla</w:t>
      </w:r>
      <w:r w:rsidR="007818B9">
        <w:rPr>
          <w:szCs w:val="18"/>
        </w:rPr>
        <w:t xml:space="preserve">n 2014 – 2017 </w:t>
      </w:r>
      <w:r>
        <w:rPr>
          <w:szCs w:val="18"/>
        </w:rPr>
        <w:t>ged</w:t>
      </w:r>
      <w:r w:rsidR="00B81B88">
        <w:rPr>
          <w:szCs w:val="18"/>
        </w:rPr>
        <w:t>i</w:t>
      </w:r>
      <w:r>
        <w:rPr>
          <w:szCs w:val="18"/>
        </w:rPr>
        <w:t xml:space="preserve">sagregeerde </w:t>
      </w:r>
      <w:r w:rsidR="007818B9">
        <w:rPr>
          <w:szCs w:val="18"/>
        </w:rPr>
        <w:t>sexe-</w:t>
      </w:r>
      <w:r>
        <w:rPr>
          <w:szCs w:val="18"/>
        </w:rPr>
        <w:t xml:space="preserve">indicatoren opgenomen. </w:t>
      </w:r>
      <w:r w:rsidR="007818B9">
        <w:rPr>
          <w:szCs w:val="18"/>
        </w:rPr>
        <w:t xml:space="preserve">Dit in parallel met </w:t>
      </w:r>
      <w:r>
        <w:rPr>
          <w:szCs w:val="18"/>
        </w:rPr>
        <w:t>UNDP</w:t>
      </w:r>
      <w:r w:rsidR="007818B9">
        <w:rPr>
          <w:szCs w:val="18"/>
        </w:rPr>
        <w:t xml:space="preserve">’s </w:t>
      </w:r>
      <w:r>
        <w:rPr>
          <w:szCs w:val="18"/>
        </w:rPr>
        <w:t>goed uitgewerkt</w:t>
      </w:r>
      <w:r w:rsidR="007818B9">
        <w:rPr>
          <w:szCs w:val="18"/>
        </w:rPr>
        <w:t>e</w:t>
      </w:r>
      <w:r>
        <w:rPr>
          <w:szCs w:val="18"/>
        </w:rPr>
        <w:t xml:space="preserve"> genderbeleid.</w:t>
      </w:r>
    </w:p>
    <w:p w14:paraId="3C625E1C" w14:textId="21D353AB" w:rsidR="00512CAD" w:rsidRDefault="00512CAD" w:rsidP="00300220">
      <w:pPr>
        <w:jc w:val="both"/>
        <w:rPr>
          <w:szCs w:val="18"/>
        </w:rPr>
      </w:pPr>
    </w:p>
    <w:p w14:paraId="74A7203A" w14:textId="29050091" w:rsidR="00512CAD" w:rsidRPr="00512CAD" w:rsidRDefault="00512CAD" w:rsidP="00512CAD">
      <w:pPr>
        <w:jc w:val="both"/>
        <w:rPr>
          <w:szCs w:val="18"/>
        </w:rPr>
      </w:pPr>
      <w:r>
        <w:rPr>
          <w:szCs w:val="18"/>
        </w:rPr>
        <w:t>UNDP</w:t>
      </w:r>
      <w:r w:rsidRPr="00512CAD">
        <w:rPr>
          <w:szCs w:val="18"/>
        </w:rPr>
        <w:t xml:space="preserve"> heeft een regelmatige cyclus van beleidsdoorlichtingen en evaluaties. </w:t>
      </w:r>
      <w:r>
        <w:rPr>
          <w:szCs w:val="18"/>
        </w:rPr>
        <w:t xml:space="preserve">Naast het jaarlijkse </w:t>
      </w:r>
      <w:r w:rsidR="00844CC1">
        <w:rPr>
          <w:szCs w:val="18"/>
        </w:rPr>
        <w:t>evaluatierapport</w:t>
      </w:r>
      <w:r>
        <w:rPr>
          <w:szCs w:val="18"/>
        </w:rPr>
        <w:t xml:space="preserve"> staan er tijdens de </w:t>
      </w:r>
      <w:r w:rsidRPr="00512CAD">
        <w:rPr>
          <w:szCs w:val="18"/>
        </w:rPr>
        <w:t>Uitvoerende Rad</w:t>
      </w:r>
      <w:r>
        <w:rPr>
          <w:szCs w:val="18"/>
        </w:rPr>
        <w:t>en</w:t>
      </w:r>
      <w:r w:rsidRPr="00512CAD">
        <w:rPr>
          <w:szCs w:val="18"/>
        </w:rPr>
        <w:t xml:space="preserve"> </w:t>
      </w:r>
      <w:r>
        <w:rPr>
          <w:szCs w:val="18"/>
        </w:rPr>
        <w:t xml:space="preserve">ook regelmatig </w:t>
      </w:r>
      <w:r w:rsidR="00844CC1">
        <w:rPr>
          <w:szCs w:val="18"/>
        </w:rPr>
        <w:t>beleid specifieke</w:t>
      </w:r>
      <w:r>
        <w:rPr>
          <w:szCs w:val="18"/>
        </w:rPr>
        <w:t xml:space="preserve"> </w:t>
      </w:r>
      <w:r w:rsidRPr="00512CAD">
        <w:rPr>
          <w:szCs w:val="18"/>
        </w:rPr>
        <w:t>documenten op de agenda</w:t>
      </w:r>
      <w:r>
        <w:rPr>
          <w:szCs w:val="18"/>
        </w:rPr>
        <w:t xml:space="preserve">. </w:t>
      </w:r>
      <w:r w:rsidRPr="00512CAD">
        <w:rPr>
          <w:szCs w:val="18"/>
        </w:rPr>
        <w:t xml:space="preserve">Sinds de vorige versie van de scorecard zijn o.a. het </w:t>
      </w:r>
      <w:r>
        <w:rPr>
          <w:szCs w:val="18"/>
        </w:rPr>
        <w:t xml:space="preserve">Evaluatiebeleid zelf en de bijdrage van UNDP aan gendergelijkheid en versterking van de positie van vrouwen teven het licht gehouden. </w:t>
      </w:r>
      <w:r w:rsidRPr="00512CAD">
        <w:rPr>
          <w:szCs w:val="18"/>
        </w:rPr>
        <w:t xml:space="preserve">De bevindingen waren over </w:t>
      </w:r>
      <w:r>
        <w:rPr>
          <w:szCs w:val="18"/>
        </w:rPr>
        <w:t xml:space="preserve">het algemeen </w:t>
      </w:r>
      <w:r w:rsidRPr="00512CAD">
        <w:rPr>
          <w:szCs w:val="18"/>
        </w:rPr>
        <w:t xml:space="preserve">positief. </w:t>
      </w:r>
    </w:p>
    <w:p w14:paraId="433D7ECB" w14:textId="77777777" w:rsidR="00512CAD" w:rsidRDefault="00512CAD" w:rsidP="00300220">
      <w:pPr>
        <w:jc w:val="both"/>
        <w:rPr>
          <w:szCs w:val="18"/>
        </w:rPr>
      </w:pPr>
    </w:p>
    <w:p w14:paraId="7246D2DE" w14:textId="15EBDAF4" w:rsidR="00D745A7" w:rsidRDefault="00364628" w:rsidP="00F24A31">
      <w:pPr>
        <w:pStyle w:val="Heading2"/>
        <w:tabs>
          <w:tab w:val="left" w:pos="-1162"/>
          <w:tab w:val="left" w:pos="0"/>
          <w:tab w:val="num" w:pos="1160"/>
        </w:tabs>
        <w:spacing w:line="240" w:lineRule="auto"/>
        <w:ind w:hanging="1162"/>
      </w:pPr>
      <w:bookmarkStart w:id="22" w:name="_Toc491268961"/>
      <w:r>
        <w:t>3</w:t>
      </w:r>
      <w:r w:rsidR="00F24A31">
        <w:t>.</w:t>
      </w:r>
      <w:r>
        <w:t>3</w:t>
      </w:r>
      <w:r w:rsidR="00F24A31">
        <w:t xml:space="preserve"> </w:t>
      </w:r>
      <w:r w:rsidR="00F24A31">
        <w:tab/>
      </w:r>
      <w:r w:rsidR="00D745A7">
        <w:t xml:space="preserve">Nederlandse </w:t>
      </w:r>
      <w:r w:rsidR="000304C1">
        <w:t>rol en invloed</w:t>
      </w:r>
      <w:bookmarkEnd w:id="22"/>
    </w:p>
    <w:p w14:paraId="7246D2E0" w14:textId="02AED7C1" w:rsidR="005C0BFF" w:rsidRPr="005C0BFF" w:rsidRDefault="005C0BFF" w:rsidP="005C0BFF">
      <w:pPr>
        <w:jc w:val="both"/>
        <w:rPr>
          <w:szCs w:val="18"/>
        </w:rPr>
      </w:pPr>
      <w:r w:rsidRPr="005C0BFF">
        <w:rPr>
          <w:szCs w:val="18"/>
        </w:rPr>
        <w:t xml:space="preserve">Nederland heeft zitting en is vertegenwoordigd in de Uitvoerende Raad (UR) via de Permanente Vertegenwoordiging (PV) in </w:t>
      </w:r>
      <w:r>
        <w:rPr>
          <w:szCs w:val="18"/>
        </w:rPr>
        <w:t>New York</w:t>
      </w:r>
      <w:r w:rsidRPr="005C0BFF">
        <w:rPr>
          <w:szCs w:val="18"/>
        </w:rPr>
        <w:t xml:space="preserve">. Een groot deel van de inzet wordt gecoördineerd via regionale groepen. Nederland maakt deel uit van </w:t>
      </w:r>
      <w:r>
        <w:rPr>
          <w:szCs w:val="18"/>
        </w:rPr>
        <w:t xml:space="preserve">de </w:t>
      </w:r>
      <w:r w:rsidRPr="00844CC1">
        <w:rPr>
          <w:i/>
          <w:szCs w:val="18"/>
        </w:rPr>
        <w:t>W</w:t>
      </w:r>
      <w:r w:rsidR="00300220" w:rsidRPr="00844CC1">
        <w:rPr>
          <w:i/>
          <w:szCs w:val="18"/>
        </w:rPr>
        <w:t>estern European and Other Group</w:t>
      </w:r>
      <w:r w:rsidR="00300220">
        <w:rPr>
          <w:szCs w:val="18"/>
        </w:rPr>
        <w:t xml:space="preserve"> (W</w:t>
      </w:r>
      <w:r>
        <w:rPr>
          <w:szCs w:val="18"/>
        </w:rPr>
        <w:t>EOG</w:t>
      </w:r>
      <w:r w:rsidR="00300220">
        <w:rPr>
          <w:szCs w:val="18"/>
        </w:rPr>
        <w:t>).</w:t>
      </w:r>
      <w:r w:rsidR="00300220">
        <w:rPr>
          <w:rStyle w:val="FootnoteReference"/>
          <w:szCs w:val="18"/>
        </w:rPr>
        <w:footnoteReference w:id="4"/>
      </w:r>
      <w:r w:rsidR="00300220">
        <w:rPr>
          <w:szCs w:val="18"/>
        </w:rPr>
        <w:t xml:space="preserve"> </w:t>
      </w:r>
      <w:r w:rsidR="008D56F7">
        <w:rPr>
          <w:szCs w:val="18"/>
        </w:rPr>
        <w:t xml:space="preserve">Er is geen regulier/formele EU-coördinatie. </w:t>
      </w:r>
      <w:r w:rsidRPr="005C0BFF">
        <w:rPr>
          <w:szCs w:val="18"/>
        </w:rPr>
        <w:t>De beslissingen in de Uitvoerende Raad worden doorgaans niet via stemming genomen, maar in consensus. Op basis van een rotatieschema zit Nederland vrijwel permanent (1</w:t>
      </w:r>
      <w:r>
        <w:rPr>
          <w:szCs w:val="18"/>
        </w:rPr>
        <w:t>2</w:t>
      </w:r>
      <w:r w:rsidRPr="005C0BFF">
        <w:rPr>
          <w:szCs w:val="18"/>
        </w:rPr>
        <w:t xml:space="preserve"> van de 1</w:t>
      </w:r>
      <w:r>
        <w:rPr>
          <w:szCs w:val="18"/>
        </w:rPr>
        <w:t>5</w:t>
      </w:r>
      <w:r w:rsidRPr="005C0BFF">
        <w:rPr>
          <w:szCs w:val="18"/>
        </w:rPr>
        <w:t xml:space="preserve"> jaar) in de UR. </w:t>
      </w:r>
      <w:r>
        <w:rPr>
          <w:szCs w:val="18"/>
        </w:rPr>
        <w:t xml:space="preserve">In 2018 </w:t>
      </w:r>
      <w:r w:rsidRPr="005C0BFF">
        <w:rPr>
          <w:szCs w:val="18"/>
        </w:rPr>
        <w:t xml:space="preserve">zit Nederland </w:t>
      </w:r>
      <w:r>
        <w:rPr>
          <w:szCs w:val="18"/>
        </w:rPr>
        <w:t xml:space="preserve">voor een jaar </w:t>
      </w:r>
      <w:r w:rsidRPr="005C0BFF">
        <w:rPr>
          <w:szCs w:val="18"/>
        </w:rPr>
        <w:t xml:space="preserve">niet in de Raad. Nederland heeft als middelgrote donor </w:t>
      </w:r>
      <w:r>
        <w:rPr>
          <w:szCs w:val="18"/>
        </w:rPr>
        <w:t>i</w:t>
      </w:r>
      <w:r w:rsidRPr="005C0BFF">
        <w:rPr>
          <w:szCs w:val="18"/>
        </w:rPr>
        <w:t xml:space="preserve">nvloed in </w:t>
      </w:r>
      <w:r>
        <w:rPr>
          <w:szCs w:val="18"/>
        </w:rPr>
        <w:t xml:space="preserve">UNDP, zeker ook gezien het feit </w:t>
      </w:r>
      <w:r w:rsidRPr="005C0BFF">
        <w:rPr>
          <w:szCs w:val="18"/>
        </w:rPr>
        <w:t xml:space="preserve">dat Nederland </w:t>
      </w:r>
      <w:r w:rsidR="00C154DF">
        <w:rPr>
          <w:szCs w:val="18"/>
        </w:rPr>
        <w:t xml:space="preserve">altijd </w:t>
      </w:r>
      <w:r w:rsidR="00C9064D">
        <w:rPr>
          <w:i/>
          <w:szCs w:val="18"/>
        </w:rPr>
        <w:t>core</w:t>
      </w:r>
      <w:r w:rsidRPr="005C0BFF">
        <w:rPr>
          <w:szCs w:val="18"/>
        </w:rPr>
        <w:t xml:space="preserve"> bijdragen </w:t>
      </w:r>
      <w:r w:rsidR="00C154DF">
        <w:rPr>
          <w:szCs w:val="18"/>
        </w:rPr>
        <w:t xml:space="preserve">nastreeft en we </w:t>
      </w:r>
      <w:r w:rsidRPr="005C0BFF">
        <w:rPr>
          <w:szCs w:val="18"/>
        </w:rPr>
        <w:t xml:space="preserve">worden gezien als een constructieve en serieuze gesprekspartner. </w:t>
      </w:r>
    </w:p>
    <w:p w14:paraId="7246D2E1" w14:textId="77777777" w:rsidR="005C0BFF" w:rsidRDefault="005C0BFF" w:rsidP="005C0BFF"/>
    <w:p w14:paraId="6CB5EB6B" w14:textId="77777777" w:rsidR="00E524EF" w:rsidRDefault="00E524EF" w:rsidP="00E524EF">
      <w:pPr>
        <w:pStyle w:val="Heading2"/>
        <w:tabs>
          <w:tab w:val="left" w:pos="-1162"/>
          <w:tab w:val="left" w:pos="0"/>
          <w:tab w:val="num" w:pos="1160"/>
        </w:tabs>
        <w:spacing w:line="240" w:lineRule="auto"/>
        <w:ind w:hanging="1162"/>
      </w:pPr>
      <w:bookmarkStart w:id="23" w:name="_Toc491268962"/>
      <w:r>
        <w:t>3.4</w:t>
      </w:r>
      <w:r>
        <w:tab/>
        <w:t>Financiële omvang en bijdragen</w:t>
      </w:r>
      <w:bookmarkEnd w:id="23"/>
    </w:p>
    <w:p w14:paraId="1A154828" w14:textId="13E19EC2" w:rsidR="00E524EF" w:rsidRDefault="00E524EF" w:rsidP="00E524EF">
      <w:pPr>
        <w:rPr>
          <w:szCs w:val="18"/>
        </w:rPr>
      </w:pPr>
      <w:r>
        <w:rPr>
          <w:szCs w:val="18"/>
        </w:rPr>
        <w:t xml:space="preserve">UNDP </w:t>
      </w:r>
      <w:r w:rsidRPr="00C154DF">
        <w:rPr>
          <w:szCs w:val="18"/>
        </w:rPr>
        <w:t xml:space="preserve">is de grootste </w:t>
      </w:r>
      <w:r>
        <w:rPr>
          <w:szCs w:val="18"/>
        </w:rPr>
        <w:t>ontwikkelings</w:t>
      </w:r>
      <w:r w:rsidRPr="00C154DF">
        <w:rPr>
          <w:szCs w:val="18"/>
        </w:rPr>
        <w:t xml:space="preserve">organisatie </w:t>
      </w:r>
      <w:r>
        <w:rPr>
          <w:szCs w:val="18"/>
        </w:rPr>
        <w:t xml:space="preserve">binnen het VN-systeem </w:t>
      </w:r>
      <w:r w:rsidRPr="00C154DF">
        <w:rPr>
          <w:szCs w:val="18"/>
        </w:rPr>
        <w:t xml:space="preserve">met een jaarlijkse ‘omzet’ van ruim USD 5 miljard. </w:t>
      </w:r>
      <w:r>
        <w:rPr>
          <w:szCs w:val="18"/>
        </w:rPr>
        <w:t>UNDP</w:t>
      </w:r>
      <w:r w:rsidRPr="00C154DF">
        <w:rPr>
          <w:szCs w:val="18"/>
        </w:rPr>
        <w:t xml:space="preserve">’s inkomsten bestaan </w:t>
      </w:r>
      <w:r>
        <w:rPr>
          <w:szCs w:val="18"/>
        </w:rPr>
        <w:t xml:space="preserve">uit </w:t>
      </w:r>
      <w:r w:rsidRPr="00844CC1">
        <w:rPr>
          <w:i/>
          <w:szCs w:val="18"/>
        </w:rPr>
        <w:t>core</w:t>
      </w:r>
      <w:r>
        <w:rPr>
          <w:szCs w:val="18"/>
        </w:rPr>
        <w:t xml:space="preserve"> en non-</w:t>
      </w:r>
      <w:r w:rsidRPr="00844CC1">
        <w:rPr>
          <w:i/>
          <w:szCs w:val="18"/>
        </w:rPr>
        <w:t>core</w:t>
      </w:r>
      <w:r>
        <w:rPr>
          <w:szCs w:val="18"/>
        </w:rPr>
        <w:t xml:space="preserve"> </w:t>
      </w:r>
      <w:r w:rsidRPr="00C154DF">
        <w:rPr>
          <w:szCs w:val="18"/>
        </w:rPr>
        <w:t xml:space="preserve">bijdragen. </w:t>
      </w:r>
      <w:r>
        <w:rPr>
          <w:szCs w:val="18"/>
        </w:rPr>
        <w:t xml:space="preserve">De afgelopen jaren is de verhouding tussen </w:t>
      </w:r>
      <w:r w:rsidRPr="00844CC1">
        <w:rPr>
          <w:i/>
          <w:szCs w:val="18"/>
        </w:rPr>
        <w:t>core</w:t>
      </w:r>
      <w:r>
        <w:rPr>
          <w:szCs w:val="18"/>
        </w:rPr>
        <w:t xml:space="preserve"> en </w:t>
      </w:r>
      <w:r w:rsidRPr="00844CC1">
        <w:rPr>
          <w:i/>
          <w:szCs w:val="18"/>
        </w:rPr>
        <w:t>non-core</w:t>
      </w:r>
      <w:r>
        <w:rPr>
          <w:szCs w:val="18"/>
        </w:rPr>
        <w:t xml:space="preserve"> steeds verder in de richting van de laatste verschoven. Dit maakt UNDP in sterke mate afhankelijk van </w:t>
      </w:r>
      <w:r w:rsidRPr="00844CC1">
        <w:rPr>
          <w:i/>
          <w:szCs w:val="18"/>
        </w:rPr>
        <w:t>non-core</w:t>
      </w:r>
      <w:r>
        <w:rPr>
          <w:szCs w:val="18"/>
        </w:rPr>
        <w:t xml:space="preserve"> bijdragen (inclusief globale fondsen zoals het </w:t>
      </w:r>
      <w:r w:rsidRPr="00844CC1">
        <w:rPr>
          <w:i/>
          <w:szCs w:val="18"/>
        </w:rPr>
        <w:t>Global Fund to Fight AIDS, Turberculosis and Malaria</w:t>
      </w:r>
      <w:r>
        <w:rPr>
          <w:szCs w:val="18"/>
        </w:rPr>
        <w:t xml:space="preserve"> (GFATM) en de Global Environment Facility (</w:t>
      </w:r>
      <w:r w:rsidR="00844CC1">
        <w:rPr>
          <w:szCs w:val="18"/>
        </w:rPr>
        <w:t>GEF), die inmiddels ongeveer 80</w:t>
      </w:r>
      <w:r>
        <w:rPr>
          <w:szCs w:val="18"/>
        </w:rPr>
        <w:t xml:space="preserve">% van de inkomsten vormen. Het lage percentage aan </w:t>
      </w:r>
      <w:r w:rsidRPr="00844CC1">
        <w:rPr>
          <w:i/>
          <w:szCs w:val="18"/>
        </w:rPr>
        <w:t>core</w:t>
      </w:r>
      <w:r>
        <w:rPr>
          <w:szCs w:val="18"/>
        </w:rPr>
        <w:t xml:space="preserve"> inkomsten beperkt de mogelijkheden om zelf sturing te geven binnen het mandaat en het hoge percentage </w:t>
      </w:r>
      <w:r w:rsidRPr="00844CC1">
        <w:rPr>
          <w:i/>
          <w:szCs w:val="18"/>
        </w:rPr>
        <w:t>non-core</w:t>
      </w:r>
      <w:r>
        <w:rPr>
          <w:szCs w:val="18"/>
        </w:rPr>
        <w:t xml:space="preserve"> bijdragen, waarbij elke donor </w:t>
      </w:r>
      <w:r>
        <w:rPr>
          <w:szCs w:val="18"/>
        </w:rPr>
        <w:lastRenderedPageBreak/>
        <w:t xml:space="preserve">z’n wensen heeft, draagt bij aan versnippering. UNDP denkt zelf een verhouding van 50/50% nodig te hebben om een stabiele basispresentie in het veld te kunnen garanderen en daarnaast ook proactief en strategisch te kunnen inspelen op (nieuwe) ontwikkelingen of crises. De 50/50 verhouding biedt ook de financiële basis die nodig is voor centrale toezicht- en managementfuncties en is de bron voor UNDP's financiële bijdrage aan </w:t>
      </w:r>
      <w:r w:rsidR="00844CC1">
        <w:rPr>
          <w:szCs w:val="18"/>
        </w:rPr>
        <w:t>VN-coördinatietaken</w:t>
      </w:r>
      <w:r>
        <w:rPr>
          <w:szCs w:val="18"/>
        </w:rPr>
        <w:t xml:space="preserve">, met als grootste budgetlijn het </w:t>
      </w:r>
      <w:r w:rsidRPr="00963642">
        <w:rPr>
          <w:i/>
        </w:rPr>
        <w:t>Resident Coördinator</w:t>
      </w:r>
      <w:r>
        <w:t xml:space="preserve"> (RC) systeem.</w:t>
      </w:r>
      <w:r>
        <w:rPr>
          <w:szCs w:val="18"/>
        </w:rPr>
        <w:t xml:space="preserve"> </w:t>
      </w:r>
    </w:p>
    <w:p w14:paraId="3D7DE9BE" w14:textId="77777777" w:rsidR="00E524EF" w:rsidRPr="004D372F" w:rsidRDefault="00E524EF" w:rsidP="00E524EF"/>
    <w:p w14:paraId="227CF53E" w14:textId="681BE840" w:rsidR="00E524EF" w:rsidRDefault="00E524EF" w:rsidP="00E524EF">
      <w:r>
        <w:t>Financieel Overzicht (bedragen in USD miljoen)</w:t>
      </w:r>
    </w:p>
    <w:p w14:paraId="2ED90F7C" w14:textId="77777777" w:rsidR="00E524EF" w:rsidRDefault="00E524EF" w:rsidP="00E524EF"/>
    <w:tbl>
      <w:tblPr>
        <w:tblW w:w="470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89"/>
        <w:gridCol w:w="1237"/>
        <w:gridCol w:w="1372"/>
        <w:gridCol w:w="1786"/>
        <w:gridCol w:w="962"/>
        <w:gridCol w:w="1197"/>
      </w:tblGrid>
      <w:tr w:rsidR="00844CC1" w14:paraId="404E92E1" w14:textId="77777777" w:rsidTr="00844CC1">
        <w:tc>
          <w:tcPr>
            <w:tcW w:w="476" w:type="pct"/>
            <w:tcBorders>
              <w:top w:val="single" w:sz="12" w:space="0" w:color="auto"/>
              <w:left w:val="single" w:sz="12" w:space="0" w:color="auto"/>
              <w:bottom w:val="single" w:sz="6" w:space="0" w:color="auto"/>
              <w:right w:val="single" w:sz="6" w:space="0" w:color="auto"/>
            </w:tcBorders>
            <w:shd w:val="clear" w:color="auto" w:fill="D9D9D9" w:themeFill="background1" w:themeFillShade="D9"/>
          </w:tcPr>
          <w:p w14:paraId="5833D838" w14:textId="77777777" w:rsidR="00E524EF" w:rsidRDefault="00E524EF" w:rsidP="00E524EF"/>
        </w:tc>
        <w:tc>
          <w:tcPr>
            <w:tcW w:w="3697" w:type="pct"/>
            <w:gridSpan w:val="4"/>
            <w:tcBorders>
              <w:top w:val="single" w:sz="12" w:space="0" w:color="auto"/>
              <w:left w:val="single" w:sz="6" w:space="0" w:color="auto"/>
              <w:bottom w:val="single" w:sz="6" w:space="0" w:color="auto"/>
              <w:right w:val="single" w:sz="6" w:space="0" w:color="auto"/>
            </w:tcBorders>
            <w:shd w:val="clear" w:color="auto" w:fill="D9D9D9" w:themeFill="background1" w:themeFillShade="D9"/>
            <w:hideMark/>
          </w:tcPr>
          <w:p w14:paraId="57FAC3D2" w14:textId="77777777" w:rsidR="00E524EF" w:rsidRDefault="00E524EF" w:rsidP="00E524EF">
            <w:pPr>
              <w:jc w:val="center"/>
              <w:rPr>
                <w:b/>
              </w:rPr>
            </w:pPr>
            <w:r>
              <w:rPr>
                <w:b/>
              </w:rPr>
              <w:t>Inkomsten</w:t>
            </w:r>
          </w:p>
        </w:tc>
        <w:tc>
          <w:tcPr>
            <w:tcW w:w="828" w:type="pct"/>
            <w:tcBorders>
              <w:top w:val="single" w:sz="12" w:space="0" w:color="auto"/>
              <w:left w:val="single" w:sz="6" w:space="0" w:color="auto"/>
              <w:bottom w:val="single" w:sz="6" w:space="0" w:color="auto"/>
              <w:right w:val="single" w:sz="12" w:space="0" w:color="auto"/>
            </w:tcBorders>
            <w:shd w:val="clear" w:color="auto" w:fill="D9D9D9" w:themeFill="background1" w:themeFillShade="D9"/>
            <w:hideMark/>
          </w:tcPr>
          <w:p w14:paraId="4A372335" w14:textId="77777777" w:rsidR="00E524EF" w:rsidRDefault="00E524EF" w:rsidP="00E524EF">
            <w:pPr>
              <w:jc w:val="right"/>
              <w:rPr>
                <w:b/>
              </w:rPr>
            </w:pPr>
            <w:r>
              <w:rPr>
                <w:b/>
              </w:rPr>
              <w:t>Uitgaven</w:t>
            </w:r>
          </w:p>
        </w:tc>
      </w:tr>
      <w:tr w:rsidR="00844CC1" w14:paraId="25D15F31" w14:textId="77777777" w:rsidTr="00844CC1">
        <w:tc>
          <w:tcPr>
            <w:tcW w:w="476" w:type="pct"/>
            <w:tcBorders>
              <w:top w:val="single" w:sz="6" w:space="0" w:color="auto"/>
              <w:left w:val="single" w:sz="12" w:space="0" w:color="auto"/>
              <w:bottom w:val="nil"/>
              <w:right w:val="single" w:sz="6" w:space="0" w:color="auto"/>
            </w:tcBorders>
            <w:shd w:val="clear" w:color="auto" w:fill="D9D9D9" w:themeFill="background1" w:themeFillShade="D9"/>
            <w:hideMark/>
          </w:tcPr>
          <w:p w14:paraId="2165876C" w14:textId="77777777" w:rsidR="00E524EF" w:rsidRDefault="00E524EF" w:rsidP="00E524EF">
            <w:pPr>
              <w:rPr>
                <w:i/>
              </w:rPr>
            </w:pPr>
            <w:r>
              <w:rPr>
                <w:i/>
              </w:rPr>
              <w:t>Jaar</w:t>
            </w:r>
          </w:p>
        </w:tc>
        <w:tc>
          <w:tcPr>
            <w:tcW w:w="854" w:type="pct"/>
            <w:tcBorders>
              <w:top w:val="single" w:sz="6" w:space="0" w:color="auto"/>
              <w:left w:val="single" w:sz="6" w:space="0" w:color="auto"/>
              <w:bottom w:val="nil"/>
              <w:right w:val="single" w:sz="6" w:space="0" w:color="auto"/>
            </w:tcBorders>
            <w:shd w:val="clear" w:color="auto" w:fill="D9D9D9" w:themeFill="background1" w:themeFillShade="D9"/>
            <w:hideMark/>
          </w:tcPr>
          <w:p w14:paraId="4F09113A" w14:textId="77777777" w:rsidR="00E524EF" w:rsidRDefault="00E524EF" w:rsidP="00E524EF">
            <w:pPr>
              <w:rPr>
                <w:i/>
              </w:rPr>
            </w:pPr>
            <w:r>
              <w:rPr>
                <w:i/>
              </w:rPr>
              <w:t>Verplichte</w:t>
            </w:r>
          </w:p>
        </w:tc>
        <w:tc>
          <w:tcPr>
            <w:tcW w:w="2180"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29E6B37E" w14:textId="77777777" w:rsidR="00E524EF" w:rsidRDefault="00E524EF" w:rsidP="00E524EF">
            <w:pPr>
              <w:jc w:val="center"/>
              <w:rPr>
                <w:i/>
              </w:rPr>
            </w:pPr>
            <w:r>
              <w:rPr>
                <w:i/>
              </w:rPr>
              <w:t>Vrijwillige bijdragen</w:t>
            </w:r>
          </w:p>
        </w:tc>
        <w:tc>
          <w:tcPr>
            <w:tcW w:w="664" w:type="pct"/>
            <w:tcBorders>
              <w:top w:val="single" w:sz="6" w:space="0" w:color="auto"/>
              <w:left w:val="single" w:sz="6" w:space="0" w:color="auto"/>
              <w:bottom w:val="nil"/>
              <w:right w:val="single" w:sz="6" w:space="0" w:color="auto"/>
            </w:tcBorders>
            <w:shd w:val="clear" w:color="auto" w:fill="D9D9D9" w:themeFill="background1" w:themeFillShade="D9"/>
            <w:hideMark/>
          </w:tcPr>
          <w:p w14:paraId="12809EF3" w14:textId="77777777" w:rsidR="00E524EF" w:rsidRDefault="00E524EF" w:rsidP="00E524EF">
            <w:pPr>
              <w:jc w:val="right"/>
              <w:rPr>
                <w:i/>
              </w:rPr>
            </w:pPr>
            <w:r>
              <w:rPr>
                <w:i/>
              </w:rPr>
              <w:t>Totaal</w:t>
            </w:r>
          </w:p>
        </w:tc>
        <w:tc>
          <w:tcPr>
            <w:tcW w:w="828" w:type="pct"/>
            <w:tcBorders>
              <w:top w:val="single" w:sz="6" w:space="0" w:color="auto"/>
              <w:left w:val="single" w:sz="6" w:space="0" w:color="auto"/>
              <w:bottom w:val="nil"/>
              <w:right w:val="single" w:sz="12" w:space="0" w:color="auto"/>
            </w:tcBorders>
            <w:shd w:val="clear" w:color="auto" w:fill="D9D9D9" w:themeFill="background1" w:themeFillShade="D9"/>
            <w:hideMark/>
          </w:tcPr>
          <w:p w14:paraId="6B5E9044" w14:textId="77777777" w:rsidR="00E524EF" w:rsidRDefault="00E524EF" w:rsidP="00E524EF">
            <w:pPr>
              <w:jc w:val="right"/>
              <w:rPr>
                <w:i/>
              </w:rPr>
            </w:pPr>
            <w:r>
              <w:rPr>
                <w:i/>
              </w:rPr>
              <w:t>Totaal</w:t>
            </w:r>
          </w:p>
        </w:tc>
      </w:tr>
      <w:tr w:rsidR="00844CC1" w14:paraId="422BAD26" w14:textId="77777777" w:rsidTr="00844CC1">
        <w:tc>
          <w:tcPr>
            <w:tcW w:w="476" w:type="pct"/>
            <w:tcBorders>
              <w:top w:val="nil"/>
              <w:left w:val="single" w:sz="12" w:space="0" w:color="auto"/>
              <w:bottom w:val="single" w:sz="12" w:space="0" w:color="auto"/>
              <w:right w:val="single" w:sz="6" w:space="0" w:color="auto"/>
            </w:tcBorders>
            <w:shd w:val="clear" w:color="auto" w:fill="D9D9D9" w:themeFill="background1" w:themeFillShade="D9"/>
            <w:hideMark/>
          </w:tcPr>
          <w:p w14:paraId="6C3D9039" w14:textId="77777777" w:rsidR="00E524EF" w:rsidRDefault="00E524EF" w:rsidP="00E524EF">
            <w:pPr>
              <w:rPr>
                <w:i/>
              </w:rPr>
            </w:pPr>
          </w:p>
        </w:tc>
        <w:tc>
          <w:tcPr>
            <w:tcW w:w="854" w:type="pct"/>
            <w:tcBorders>
              <w:top w:val="nil"/>
              <w:left w:val="single" w:sz="6" w:space="0" w:color="auto"/>
              <w:bottom w:val="single" w:sz="12" w:space="0" w:color="auto"/>
              <w:right w:val="single" w:sz="6" w:space="0" w:color="auto"/>
            </w:tcBorders>
            <w:shd w:val="clear" w:color="auto" w:fill="D9D9D9" w:themeFill="background1" w:themeFillShade="D9"/>
            <w:hideMark/>
          </w:tcPr>
          <w:p w14:paraId="10D2C81B" w14:textId="77777777" w:rsidR="00E524EF" w:rsidRDefault="00E524EF" w:rsidP="00E524EF">
            <w:pPr>
              <w:rPr>
                <w:i/>
              </w:rPr>
            </w:pPr>
            <w:r>
              <w:rPr>
                <w:i/>
              </w:rPr>
              <w:t>bijdragen</w:t>
            </w:r>
          </w:p>
        </w:tc>
        <w:tc>
          <w:tcPr>
            <w:tcW w:w="947" w:type="pct"/>
            <w:tcBorders>
              <w:top w:val="nil"/>
              <w:left w:val="single" w:sz="6" w:space="0" w:color="auto"/>
              <w:bottom w:val="single" w:sz="12" w:space="0" w:color="auto"/>
              <w:right w:val="single" w:sz="6" w:space="0" w:color="auto"/>
            </w:tcBorders>
            <w:shd w:val="clear" w:color="auto" w:fill="D9D9D9" w:themeFill="background1" w:themeFillShade="D9"/>
            <w:hideMark/>
          </w:tcPr>
          <w:p w14:paraId="01536EC8" w14:textId="77777777" w:rsidR="00E524EF" w:rsidRDefault="00E524EF" w:rsidP="00E524EF">
            <w:pPr>
              <w:rPr>
                <w:i/>
              </w:rPr>
            </w:pPr>
            <w:r>
              <w:rPr>
                <w:i/>
              </w:rPr>
              <w:t>Non-core</w:t>
            </w:r>
          </w:p>
        </w:tc>
        <w:tc>
          <w:tcPr>
            <w:tcW w:w="1232" w:type="pct"/>
            <w:tcBorders>
              <w:top w:val="nil"/>
              <w:left w:val="single" w:sz="6" w:space="0" w:color="auto"/>
              <w:bottom w:val="single" w:sz="12" w:space="0" w:color="auto"/>
              <w:right w:val="single" w:sz="6" w:space="0" w:color="auto"/>
            </w:tcBorders>
            <w:shd w:val="clear" w:color="auto" w:fill="D9D9D9" w:themeFill="background1" w:themeFillShade="D9"/>
            <w:hideMark/>
          </w:tcPr>
          <w:p w14:paraId="78CDA041" w14:textId="77777777" w:rsidR="00E524EF" w:rsidRDefault="00E524EF" w:rsidP="00E524EF">
            <w:pPr>
              <w:rPr>
                <w:i/>
              </w:rPr>
            </w:pPr>
            <w:r>
              <w:rPr>
                <w:i/>
              </w:rPr>
              <w:t>Core</w:t>
            </w:r>
          </w:p>
        </w:tc>
        <w:tc>
          <w:tcPr>
            <w:tcW w:w="664" w:type="pct"/>
            <w:tcBorders>
              <w:top w:val="nil"/>
              <w:left w:val="single" w:sz="6" w:space="0" w:color="auto"/>
              <w:bottom w:val="single" w:sz="12" w:space="0" w:color="auto"/>
              <w:right w:val="single" w:sz="6" w:space="0" w:color="auto"/>
            </w:tcBorders>
            <w:shd w:val="clear" w:color="auto" w:fill="D9D9D9" w:themeFill="background1" w:themeFillShade="D9"/>
          </w:tcPr>
          <w:p w14:paraId="0389E743" w14:textId="77777777" w:rsidR="00E524EF" w:rsidRDefault="00E524EF" w:rsidP="00E524EF">
            <w:pPr>
              <w:rPr>
                <w:i/>
              </w:rPr>
            </w:pPr>
          </w:p>
        </w:tc>
        <w:tc>
          <w:tcPr>
            <w:tcW w:w="828" w:type="pct"/>
            <w:tcBorders>
              <w:top w:val="nil"/>
              <w:left w:val="single" w:sz="6" w:space="0" w:color="auto"/>
              <w:bottom w:val="single" w:sz="12" w:space="0" w:color="auto"/>
              <w:right w:val="single" w:sz="12" w:space="0" w:color="auto"/>
            </w:tcBorders>
            <w:shd w:val="clear" w:color="auto" w:fill="D9D9D9" w:themeFill="background1" w:themeFillShade="D9"/>
          </w:tcPr>
          <w:p w14:paraId="5C79A7EA" w14:textId="77777777" w:rsidR="00E524EF" w:rsidRDefault="00E524EF" w:rsidP="00E524EF">
            <w:pPr>
              <w:rPr>
                <w:i/>
              </w:rPr>
            </w:pPr>
          </w:p>
        </w:tc>
      </w:tr>
      <w:tr w:rsidR="00E524EF" w14:paraId="1B98D27F" w14:textId="77777777" w:rsidTr="00844CC1">
        <w:tc>
          <w:tcPr>
            <w:tcW w:w="476" w:type="pct"/>
            <w:tcBorders>
              <w:top w:val="single" w:sz="12" w:space="0" w:color="auto"/>
            </w:tcBorders>
            <w:hideMark/>
          </w:tcPr>
          <w:p w14:paraId="209E6F49" w14:textId="77777777" w:rsidR="00E524EF" w:rsidRDefault="00E524EF" w:rsidP="00E524EF">
            <w:r>
              <w:t>2014</w:t>
            </w:r>
          </w:p>
        </w:tc>
        <w:tc>
          <w:tcPr>
            <w:tcW w:w="854" w:type="pct"/>
            <w:tcBorders>
              <w:top w:val="single" w:sz="12" w:space="0" w:color="auto"/>
            </w:tcBorders>
          </w:tcPr>
          <w:p w14:paraId="79200D3F" w14:textId="77777777" w:rsidR="00E524EF" w:rsidRDefault="00E524EF" w:rsidP="00E524EF">
            <w:pPr>
              <w:tabs>
                <w:tab w:val="decimal" w:pos="674"/>
              </w:tabs>
            </w:pPr>
            <w:r>
              <w:t>n.v.t.</w:t>
            </w:r>
          </w:p>
        </w:tc>
        <w:tc>
          <w:tcPr>
            <w:tcW w:w="947" w:type="pct"/>
            <w:tcBorders>
              <w:top w:val="single" w:sz="12" w:space="0" w:color="auto"/>
            </w:tcBorders>
          </w:tcPr>
          <w:p w14:paraId="5DA91FE6" w14:textId="77777777" w:rsidR="00E524EF" w:rsidRDefault="00E524EF" w:rsidP="00E524EF">
            <w:pPr>
              <w:tabs>
                <w:tab w:val="decimal" w:pos="780"/>
              </w:tabs>
            </w:pPr>
            <w:r>
              <w:t>3.922</w:t>
            </w:r>
          </w:p>
        </w:tc>
        <w:tc>
          <w:tcPr>
            <w:tcW w:w="1232" w:type="pct"/>
            <w:tcBorders>
              <w:top w:val="single" w:sz="12" w:space="0" w:color="auto"/>
            </w:tcBorders>
          </w:tcPr>
          <w:p w14:paraId="3C3997B1" w14:textId="7FBA4C63" w:rsidR="00E524EF" w:rsidRDefault="00E524EF" w:rsidP="00E524EF">
            <w:pPr>
              <w:tabs>
                <w:tab w:val="decimal" w:pos="887"/>
              </w:tabs>
            </w:pPr>
            <w:r>
              <w:t>793</w:t>
            </w:r>
          </w:p>
        </w:tc>
        <w:tc>
          <w:tcPr>
            <w:tcW w:w="664" w:type="pct"/>
            <w:tcBorders>
              <w:top w:val="single" w:sz="12" w:space="0" w:color="auto"/>
            </w:tcBorders>
          </w:tcPr>
          <w:p w14:paraId="087D32AD" w14:textId="77777777" w:rsidR="00E524EF" w:rsidRDefault="00E524EF" w:rsidP="00E524EF">
            <w:pPr>
              <w:tabs>
                <w:tab w:val="decimal" w:pos="743"/>
              </w:tabs>
            </w:pPr>
            <w:r>
              <w:t>4.715</w:t>
            </w:r>
          </w:p>
        </w:tc>
        <w:tc>
          <w:tcPr>
            <w:tcW w:w="828" w:type="pct"/>
            <w:tcBorders>
              <w:top w:val="single" w:sz="12" w:space="0" w:color="auto"/>
            </w:tcBorders>
          </w:tcPr>
          <w:p w14:paraId="460DD45D" w14:textId="77777777" w:rsidR="00E524EF" w:rsidRDefault="00E524EF" w:rsidP="00E524EF">
            <w:pPr>
              <w:tabs>
                <w:tab w:val="decimal" w:pos="885"/>
              </w:tabs>
            </w:pPr>
            <w:r>
              <w:t>5.314</w:t>
            </w:r>
          </w:p>
        </w:tc>
      </w:tr>
      <w:tr w:rsidR="00E524EF" w14:paraId="43E85388" w14:textId="77777777" w:rsidTr="00844CC1">
        <w:tc>
          <w:tcPr>
            <w:tcW w:w="476" w:type="pct"/>
            <w:hideMark/>
          </w:tcPr>
          <w:p w14:paraId="50D01C64" w14:textId="77777777" w:rsidR="00E524EF" w:rsidRDefault="00E524EF" w:rsidP="00E524EF">
            <w:r>
              <w:t>2015</w:t>
            </w:r>
          </w:p>
        </w:tc>
        <w:tc>
          <w:tcPr>
            <w:tcW w:w="854" w:type="pct"/>
          </w:tcPr>
          <w:p w14:paraId="5ADE0264" w14:textId="77777777" w:rsidR="00E524EF" w:rsidRDefault="00E524EF" w:rsidP="00E524EF">
            <w:pPr>
              <w:tabs>
                <w:tab w:val="decimal" w:pos="674"/>
              </w:tabs>
            </w:pPr>
            <w:r>
              <w:t>n.v.t.</w:t>
            </w:r>
          </w:p>
        </w:tc>
        <w:tc>
          <w:tcPr>
            <w:tcW w:w="947" w:type="pct"/>
          </w:tcPr>
          <w:p w14:paraId="120E9CE8" w14:textId="77777777" w:rsidR="00E524EF" w:rsidRDefault="00E524EF" w:rsidP="00E524EF">
            <w:pPr>
              <w:tabs>
                <w:tab w:val="decimal" w:pos="780"/>
              </w:tabs>
            </w:pPr>
            <w:r>
              <w:t>3.782</w:t>
            </w:r>
          </w:p>
        </w:tc>
        <w:tc>
          <w:tcPr>
            <w:tcW w:w="1232" w:type="pct"/>
          </w:tcPr>
          <w:p w14:paraId="55A63D4E" w14:textId="35DDEC55" w:rsidR="00E524EF" w:rsidRDefault="00E524EF" w:rsidP="00E524EF">
            <w:pPr>
              <w:tabs>
                <w:tab w:val="decimal" w:pos="887"/>
              </w:tabs>
            </w:pPr>
            <w:r>
              <w:t>704</w:t>
            </w:r>
          </w:p>
        </w:tc>
        <w:tc>
          <w:tcPr>
            <w:tcW w:w="664" w:type="pct"/>
          </w:tcPr>
          <w:p w14:paraId="658ACF0C" w14:textId="77777777" w:rsidR="00E524EF" w:rsidRDefault="00E524EF" w:rsidP="00E524EF">
            <w:pPr>
              <w:tabs>
                <w:tab w:val="decimal" w:pos="743"/>
              </w:tabs>
            </w:pPr>
            <w:r>
              <w:t>4.486</w:t>
            </w:r>
          </w:p>
        </w:tc>
        <w:tc>
          <w:tcPr>
            <w:tcW w:w="828" w:type="pct"/>
          </w:tcPr>
          <w:p w14:paraId="1935E6EA" w14:textId="77777777" w:rsidR="00E524EF" w:rsidRDefault="00E524EF" w:rsidP="00E524EF">
            <w:pPr>
              <w:tabs>
                <w:tab w:val="decimal" w:pos="885"/>
              </w:tabs>
            </w:pPr>
            <w:r>
              <w:t>5.057</w:t>
            </w:r>
          </w:p>
        </w:tc>
      </w:tr>
      <w:tr w:rsidR="00E524EF" w14:paraId="524EAA80" w14:textId="77777777" w:rsidTr="00844CC1">
        <w:tc>
          <w:tcPr>
            <w:tcW w:w="476" w:type="pct"/>
          </w:tcPr>
          <w:p w14:paraId="42D96EE9" w14:textId="77777777" w:rsidR="00E524EF" w:rsidRDefault="00E524EF" w:rsidP="00E524EF">
            <w:r>
              <w:t>2016</w:t>
            </w:r>
          </w:p>
        </w:tc>
        <w:tc>
          <w:tcPr>
            <w:tcW w:w="854" w:type="pct"/>
          </w:tcPr>
          <w:p w14:paraId="2A80A6B4" w14:textId="77777777" w:rsidR="00E524EF" w:rsidRDefault="00E524EF" w:rsidP="00E524EF">
            <w:pPr>
              <w:tabs>
                <w:tab w:val="decimal" w:pos="674"/>
              </w:tabs>
            </w:pPr>
            <w:r>
              <w:t>n.v.t.</w:t>
            </w:r>
          </w:p>
        </w:tc>
        <w:tc>
          <w:tcPr>
            <w:tcW w:w="947" w:type="pct"/>
          </w:tcPr>
          <w:p w14:paraId="24881ADD" w14:textId="03CA4512" w:rsidR="00E524EF" w:rsidRDefault="00DA549B" w:rsidP="00E524EF">
            <w:pPr>
              <w:tabs>
                <w:tab w:val="decimal" w:pos="780"/>
              </w:tabs>
            </w:pPr>
            <w:r>
              <w:t>4.248</w:t>
            </w:r>
          </w:p>
        </w:tc>
        <w:tc>
          <w:tcPr>
            <w:tcW w:w="1232" w:type="pct"/>
          </w:tcPr>
          <w:p w14:paraId="147B511A" w14:textId="42E48A47" w:rsidR="00E524EF" w:rsidRDefault="00DA549B" w:rsidP="00DA549B">
            <w:pPr>
              <w:tabs>
                <w:tab w:val="decimal" w:pos="887"/>
              </w:tabs>
            </w:pPr>
            <w:r>
              <w:t>618</w:t>
            </w:r>
          </w:p>
        </w:tc>
        <w:tc>
          <w:tcPr>
            <w:tcW w:w="664" w:type="pct"/>
          </w:tcPr>
          <w:p w14:paraId="59E30A7E" w14:textId="2639B751" w:rsidR="00E524EF" w:rsidRDefault="00DA549B" w:rsidP="00DA549B">
            <w:pPr>
              <w:tabs>
                <w:tab w:val="decimal" w:pos="743"/>
              </w:tabs>
            </w:pPr>
            <w:r>
              <w:t>4.866</w:t>
            </w:r>
          </w:p>
        </w:tc>
        <w:tc>
          <w:tcPr>
            <w:tcW w:w="828" w:type="pct"/>
          </w:tcPr>
          <w:p w14:paraId="76165884" w14:textId="7226B781" w:rsidR="00E524EF" w:rsidRDefault="00DA549B" w:rsidP="00E524EF">
            <w:pPr>
              <w:tabs>
                <w:tab w:val="decimal" w:pos="885"/>
              </w:tabs>
            </w:pPr>
            <w:r>
              <w:t>4.660</w:t>
            </w:r>
          </w:p>
        </w:tc>
      </w:tr>
    </w:tbl>
    <w:p w14:paraId="64176F00" w14:textId="77777777" w:rsidR="00CF2C90" w:rsidRPr="0069317D" w:rsidRDefault="00CF2C90" w:rsidP="00E524EF"/>
    <w:p w14:paraId="41E7299F" w14:textId="77777777" w:rsidR="00E524EF" w:rsidRDefault="00E524EF" w:rsidP="00E524EF">
      <w:r w:rsidRPr="004D372F">
        <w:t>Overzicht bijdragen en ranking grootste donoren</w:t>
      </w:r>
      <w:r>
        <w:t xml:space="preserve"> (bedragen in USD miljoen) </w:t>
      </w:r>
    </w:p>
    <w:p w14:paraId="5C348590" w14:textId="77777777" w:rsidR="00E524EF" w:rsidRDefault="00E524EF" w:rsidP="00E524EF"/>
    <w:tbl>
      <w:tblPr>
        <w:tblW w:w="4705" w:type="pct"/>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77"/>
        <w:gridCol w:w="1977"/>
        <w:gridCol w:w="2438"/>
        <w:gridCol w:w="2151"/>
      </w:tblGrid>
      <w:tr w:rsidR="00E524EF" w14:paraId="5EE10B98" w14:textId="77777777" w:rsidTr="00356075">
        <w:tc>
          <w:tcPr>
            <w:tcW w:w="467" w:type="pct"/>
            <w:hideMark/>
          </w:tcPr>
          <w:p w14:paraId="65F4C61E" w14:textId="77777777" w:rsidR="00E524EF" w:rsidRPr="00A13499" w:rsidRDefault="00E524EF" w:rsidP="00E524EF">
            <w:pPr>
              <w:rPr>
                <w:b/>
              </w:rPr>
            </w:pPr>
            <w:r w:rsidRPr="00A13499">
              <w:rPr>
                <w:b/>
              </w:rPr>
              <w:t>Jaar</w:t>
            </w:r>
          </w:p>
        </w:tc>
        <w:tc>
          <w:tcPr>
            <w:tcW w:w="1365" w:type="pct"/>
            <w:hideMark/>
          </w:tcPr>
          <w:p w14:paraId="7A6160CF" w14:textId="77777777" w:rsidR="00E524EF" w:rsidRPr="00A13499" w:rsidRDefault="00E524EF" w:rsidP="00E524EF">
            <w:pPr>
              <w:rPr>
                <w:b/>
              </w:rPr>
            </w:pPr>
            <w:r w:rsidRPr="00A13499">
              <w:rPr>
                <w:b/>
              </w:rPr>
              <w:t>Bijdrage</w:t>
            </w:r>
          </w:p>
        </w:tc>
        <w:tc>
          <w:tcPr>
            <w:tcW w:w="1683" w:type="pct"/>
            <w:hideMark/>
          </w:tcPr>
          <w:p w14:paraId="04CBE555" w14:textId="77777777" w:rsidR="00E524EF" w:rsidRPr="00A13499" w:rsidRDefault="00E524EF" w:rsidP="00E524EF">
            <w:pPr>
              <w:rPr>
                <w:b/>
              </w:rPr>
            </w:pPr>
            <w:r w:rsidRPr="00A13499">
              <w:rPr>
                <w:b/>
              </w:rPr>
              <w:t>Ranking/donor</w:t>
            </w:r>
          </w:p>
        </w:tc>
        <w:tc>
          <w:tcPr>
            <w:tcW w:w="1485" w:type="pct"/>
            <w:hideMark/>
          </w:tcPr>
          <w:p w14:paraId="1D29925F" w14:textId="77777777" w:rsidR="00E524EF" w:rsidRPr="00A13499" w:rsidRDefault="00E524EF" w:rsidP="00E524EF">
            <w:pPr>
              <w:jc w:val="center"/>
              <w:rPr>
                <w:b/>
              </w:rPr>
            </w:pPr>
            <w:r w:rsidRPr="00A13499">
              <w:rPr>
                <w:b/>
              </w:rPr>
              <w:t>Bedrag</w:t>
            </w:r>
          </w:p>
        </w:tc>
      </w:tr>
      <w:tr w:rsidR="00E524EF" w14:paraId="080E9B3F" w14:textId="77777777" w:rsidTr="00356075">
        <w:tc>
          <w:tcPr>
            <w:tcW w:w="466" w:type="pct"/>
            <w:shd w:val="clear" w:color="auto" w:fill="D9D9D9"/>
          </w:tcPr>
          <w:p w14:paraId="7A86B230" w14:textId="77777777" w:rsidR="00E524EF" w:rsidRDefault="00E524EF" w:rsidP="00E524EF"/>
        </w:tc>
        <w:tc>
          <w:tcPr>
            <w:tcW w:w="1365" w:type="pct"/>
            <w:shd w:val="clear" w:color="auto" w:fill="D9D9D9"/>
          </w:tcPr>
          <w:p w14:paraId="1C6ED1D4" w14:textId="77777777" w:rsidR="00E524EF" w:rsidRDefault="00E524EF" w:rsidP="00E524EF"/>
        </w:tc>
        <w:tc>
          <w:tcPr>
            <w:tcW w:w="1683" w:type="pct"/>
            <w:shd w:val="clear" w:color="auto" w:fill="D9D9D9"/>
          </w:tcPr>
          <w:p w14:paraId="62746531" w14:textId="77777777" w:rsidR="00E524EF" w:rsidRDefault="00E524EF" w:rsidP="00E524EF"/>
        </w:tc>
        <w:tc>
          <w:tcPr>
            <w:tcW w:w="1485" w:type="pct"/>
            <w:shd w:val="clear" w:color="auto" w:fill="D9D9D9"/>
          </w:tcPr>
          <w:p w14:paraId="265AE4F7" w14:textId="77777777" w:rsidR="00E524EF" w:rsidRDefault="00E524EF" w:rsidP="00E524EF"/>
        </w:tc>
      </w:tr>
      <w:tr w:rsidR="00E524EF" w14:paraId="14C82542" w14:textId="77777777" w:rsidTr="00356075">
        <w:tc>
          <w:tcPr>
            <w:tcW w:w="466" w:type="pct"/>
            <w:vMerge w:val="restart"/>
            <w:hideMark/>
          </w:tcPr>
          <w:p w14:paraId="33666640" w14:textId="77777777" w:rsidR="00E524EF" w:rsidRDefault="00E524EF" w:rsidP="00E524EF">
            <w:r>
              <w:t>2014</w:t>
            </w:r>
          </w:p>
          <w:p w14:paraId="7A6D7F16" w14:textId="77777777" w:rsidR="00E524EF" w:rsidRDefault="00E524EF" w:rsidP="00E524EF"/>
        </w:tc>
        <w:tc>
          <w:tcPr>
            <w:tcW w:w="1365" w:type="pct"/>
            <w:vMerge w:val="restart"/>
            <w:hideMark/>
          </w:tcPr>
          <w:p w14:paraId="55B16707" w14:textId="77777777" w:rsidR="00E524EF" w:rsidRDefault="00E524EF" w:rsidP="00E524EF">
            <w:r w:rsidRPr="00A13499">
              <w:rPr>
                <w:i/>
              </w:rPr>
              <w:t>Core</w:t>
            </w:r>
            <w:r>
              <w:t>-bijdrage</w:t>
            </w:r>
          </w:p>
        </w:tc>
        <w:tc>
          <w:tcPr>
            <w:tcW w:w="1683" w:type="pct"/>
            <w:hideMark/>
          </w:tcPr>
          <w:p w14:paraId="11CA5116" w14:textId="77777777" w:rsidR="00E524EF" w:rsidRDefault="00E524EF" w:rsidP="00E524EF">
            <w:r>
              <w:t>1. Noorwegen</w:t>
            </w:r>
          </w:p>
        </w:tc>
        <w:tc>
          <w:tcPr>
            <w:tcW w:w="1485" w:type="pct"/>
          </w:tcPr>
          <w:p w14:paraId="19956ECB" w14:textId="77777777" w:rsidR="00E524EF" w:rsidRDefault="00E524EF" w:rsidP="00E524EF">
            <w:pPr>
              <w:tabs>
                <w:tab w:val="decimal" w:pos="1026"/>
              </w:tabs>
            </w:pPr>
            <w:r>
              <w:t>112</w:t>
            </w:r>
          </w:p>
        </w:tc>
      </w:tr>
      <w:tr w:rsidR="00E524EF" w14:paraId="756D2491" w14:textId="77777777" w:rsidTr="00356075">
        <w:tc>
          <w:tcPr>
            <w:tcW w:w="466" w:type="pct"/>
            <w:vMerge/>
          </w:tcPr>
          <w:p w14:paraId="5D4A21B4" w14:textId="77777777" w:rsidR="00E524EF" w:rsidRDefault="00E524EF" w:rsidP="00E524EF"/>
        </w:tc>
        <w:tc>
          <w:tcPr>
            <w:tcW w:w="1365" w:type="pct"/>
            <w:vMerge/>
          </w:tcPr>
          <w:p w14:paraId="7FFBD03A" w14:textId="77777777" w:rsidR="00E524EF" w:rsidRDefault="00E524EF" w:rsidP="00E524EF"/>
        </w:tc>
        <w:tc>
          <w:tcPr>
            <w:tcW w:w="1683" w:type="pct"/>
            <w:hideMark/>
          </w:tcPr>
          <w:p w14:paraId="7A70391A" w14:textId="77777777" w:rsidR="00E524EF" w:rsidRDefault="00E524EF" w:rsidP="00E524EF">
            <w:r>
              <w:t>2. Verenigd Koninkrijk</w:t>
            </w:r>
          </w:p>
        </w:tc>
        <w:tc>
          <w:tcPr>
            <w:tcW w:w="1485" w:type="pct"/>
          </w:tcPr>
          <w:p w14:paraId="3E4B9A59" w14:textId="77777777" w:rsidR="00E524EF" w:rsidRDefault="00E524EF" w:rsidP="00E524EF">
            <w:pPr>
              <w:tabs>
                <w:tab w:val="decimal" w:pos="1026"/>
              </w:tabs>
            </w:pPr>
            <w:r>
              <w:t>90</w:t>
            </w:r>
          </w:p>
        </w:tc>
      </w:tr>
      <w:tr w:rsidR="00E524EF" w14:paraId="200C4F0B" w14:textId="77777777" w:rsidTr="00356075">
        <w:tc>
          <w:tcPr>
            <w:tcW w:w="466" w:type="pct"/>
            <w:vMerge/>
          </w:tcPr>
          <w:p w14:paraId="7720BF84" w14:textId="77777777" w:rsidR="00E524EF" w:rsidRDefault="00E524EF" w:rsidP="00E524EF"/>
        </w:tc>
        <w:tc>
          <w:tcPr>
            <w:tcW w:w="1365" w:type="pct"/>
            <w:vMerge/>
          </w:tcPr>
          <w:p w14:paraId="3E601A12" w14:textId="77777777" w:rsidR="00E524EF" w:rsidRDefault="00E524EF" w:rsidP="00E524EF"/>
        </w:tc>
        <w:tc>
          <w:tcPr>
            <w:tcW w:w="1683" w:type="pct"/>
          </w:tcPr>
          <w:p w14:paraId="07D50CC5" w14:textId="77777777" w:rsidR="00E524EF" w:rsidRDefault="00E524EF" w:rsidP="00E524EF">
            <w:r>
              <w:t>3. Verenigde Staten</w:t>
            </w:r>
          </w:p>
        </w:tc>
        <w:tc>
          <w:tcPr>
            <w:tcW w:w="1485" w:type="pct"/>
          </w:tcPr>
          <w:p w14:paraId="13578815" w14:textId="77777777" w:rsidR="00E524EF" w:rsidRDefault="00E524EF" w:rsidP="00E524EF">
            <w:pPr>
              <w:tabs>
                <w:tab w:val="decimal" w:pos="1026"/>
              </w:tabs>
            </w:pPr>
            <w:r>
              <w:t>81</w:t>
            </w:r>
          </w:p>
        </w:tc>
      </w:tr>
      <w:tr w:rsidR="00E524EF" w14:paraId="3E2AAB99" w14:textId="77777777" w:rsidTr="00356075">
        <w:tc>
          <w:tcPr>
            <w:tcW w:w="466" w:type="pct"/>
            <w:vMerge/>
          </w:tcPr>
          <w:p w14:paraId="1341226E" w14:textId="77777777" w:rsidR="00E524EF" w:rsidRDefault="00E524EF" w:rsidP="00E524EF"/>
        </w:tc>
        <w:tc>
          <w:tcPr>
            <w:tcW w:w="1365" w:type="pct"/>
            <w:vMerge/>
          </w:tcPr>
          <w:p w14:paraId="44D289BD" w14:textId="77777777" w:rsidR="00E524EF" w:rsidRDefault="00E524EF" w:rsidP="00E524EF"/>
        </w:tc>
        <w:tc>
          <w:tcPr>
            <w:tcW w:w="1683" w:type="pct"/>
            <w:hideMark/>
          </w:tcPr>
          <w:p w14:paraId="5BFADED7" w14:textId="77777777" w:rsidR="00E524EF" w:rsidRPr="00B12E64" w:rsidRDefault="00E524EF" w:rsidP="00E524EF">
            <w:pPr>
              <w:rPr>
                <w:b/>
              </w:rPr>
            </w:pPr>
            <w:r w:rsidRPr="00B12E64">
              <w:rPr>
                <w:b/>
              </w:rPr>
              <w:t>8. Nederland</w:t>
            </w:r>
          </w:p>
        </w:tc>
        <w:tc>
          <w:tcPr>
            <w:tcW w:w="1485" w:type="pct"/>
          </w:tcPr>
          <w:p w14:paraId="4243CD60" w14:textId="77777777" w:rsidR="00E524EF" w:rsidRPr="00B12E64" w:rsidRDefault="00E524EF" w:rsidP="00E524EF">
            <w:pPr>
              <w:tabs>
                <w:tab w:val="decimal" w:pos="1026"/>
              </w:tabs>
              <w:rPr>
                <w:b/>
              </w:rPr>
            </w:pPr>
            <w:r>
              <w:rPr>
                <w:b/>
              </w:rPr>
              <w:t>37</w:t>
            </w:r>
          </w:p>
        </w:tc>
      </w:tr>
      <w:tr w:rsidR="00E524EF" w14:paraId="13CD4B0E" w14:textId="77777777" w:rsidTr="00356075">
        <w:tc>
          <w:tcPr>
            <w:tcW w:w="466" w:type="pct"/>
            <w:vMerge/>
          </w:tcPr>
          <w:p w14:paraId="0605F09D" w14:textId="77777777" w:rsidR="00E524EF" w:rsidRDefault="00E524EF" w:rsidP="00E524EF"/>
        </w:tc>
        <w:tc>
          <w:tcPr>
            <w:tcW w:w="1365" w:type="pct"/>
            <w:vMerge w:val="restart"/>
            <w:hideMark/>
          </w:tcPr>
          <w:p w14:paraId="2CEC7D52" w14:textId="77777777" w:rsidR="00E524EF" w:rsidRDefault="00E524EF" w:rsidP="00E524EF">
            <w:r w:rsidRPr="00A13499">
              <w:rPr>
                <w:i/>
              </w:rPr>
              <w:t>Non-core</w:t>
            </w:r>
            <w:r>
              <w:t>-bijdragen</w:t>
            </w:r>
          </w:p>
        </w:tc>
        <w:tc>
          <w:tcPr>
            <w:tcW w:w="1683" w:type="pct"/>
            <w:hideMark/>
          </w:tcPr>
          <w:p w14:paraId="079074CE" w14:textId="77777777" w:rsidR="00E524EF" w:rsidRDefault="00E524EF" w:rsidP="00E524EF">
            <w:r>
              <w:t>1. Verenigde Staten</w:t>
            </w:r>
          </w:p>
        </w:tc>
        <w:tc>
          <w:tcPr>
            <w:tcW w:w="1485" w:type="pct"/>
          </w:tcPr>
          <w:p w14:paraId="4BDDB749" w14:textId="77777777" w:rsidR="00E524EF" w:rsidRDefault="00E524EF" w:rsidP="00E524EF">
            <w:pPr>
              <w:tabs>
                <w:tab w:val="decimal" w:pos="1026"/>
              </w:tabs>
            </w:pPr>
            <w:r>
              <w:t>418</w:t>
            </w:r>
          </w:p>
        </w:tc>
      </w:tr>
      <w:tr w:rsidR="00E524EF" w14:paraId="70389810" w14:textId="77777777" w:rsidTr="00356075">
        <w:tc>
          <w:tcPr>
            <w:tcW w:w="466" w:type="pct"/>
            <w:vMerge/>
          </w:tcPr>
          <w:p w14:paraId="45C52244" w14:textId="77777777" w:rsidR="00E524EF" w:rsidRDefault="00E524EF" w:rsidP="00E524EF"/>
        </w:tc>
        <w:tc>
          <w:tcPr>
            <w:tcW w:w="1365" w:type="pct"/>
            <w:vMerge/>
          </w:tcPr>
          <w:p w14:paraId="36C05DCD" w14:textId="77777777" w:rsidR="00E524EF" w:rsidRDefault="00E524EF" w:rsidP="00E524EF"/>
        </w:tc>
        <w:tc>
          <w:tcPr>
            <w:tcW w:w="1683" w:type="pct"/>
            <w:hideMark/>
          </w:tcPr>
          <w:p w14:paraId="0CDB45D0" w14:textId="77777777" w:rsidR="00E524EF" w:rsidRDefault="00E524EF" w:rsidP="00E524EF">
            <w:r>
              <w:t>2. Japan</w:t>
            </w:r>
          </w:p>
        </w:tc>
        <w:tc>
          <w:tcPr>
            <w:tcW w:w="1485" w:type="pct"/>
          </w:tcPr>
          <w:p w14:paraId="5311E2DA" w14:textId="77777777" w:rsidR="00E524EF" w:rsidRDefault="00E524EF" w:rsidP="00E524EF">
            <w:pPr>
              <w:tabs>
                <w:tab w:val="decimal" w:pos="1026"/>
              </w:tabs>
            </w:pPr>
            <w:r>
              <w:t>307</w:t>
            </w:r>
          </w:p>
        </w:tc>
      </w:tr>
      <w:tr w:rsidR="00E524EF" w14:paraId="6DD5CE3D" w14:textId="77777777" w:rsidTr="00356075">
        <w:tc>
          <w:tcPr>
            <w:tcW w:w="466" w:type="pct"/>
            <w:vMerge/>
          </w:tcPr>
          <w:p w14:paraId="462E99F8" w14:textId="77777777" w:rsidR="00E524EF" w:rsidRDefault="00E524EF" w:rsidP="00E524EF"/>
        </w:tc>
        <w:tc>
          <w:tcPr>
            <w:tcW w:w="1365" w:type="pct"/>
            <w:vMerge/>
          </w:tcPr>
          <w:p w14:paraId="04D59830" w14:textId="77777777" w:rsidR="00E524EF" w:rsidRDefault="00E524EF" w:rsidP="00E524EF"/>
        </w:tc>
        <w:tc>
          <w:tcPr>
            <w:tcW w:w="1683" w:type="pct"/>
          </w:tcPr>
          <w:p w14:paraId="113C1BCB" w14:textId="7D9B9951" w:rsidR="00E524EF" w:rsidRDefault="00E524EF" w:rsidP="00E524EF">
            <w:r>
              <w:t xml:space="preserve">3. </w:t>
            </w:r>
            <w:r w:rsidR="00844CC1">
              <w:t>Argentinië</w:t>
            </w:r>
          </w:p>
        </w:tc>
        <w:tc>
          <w:tcPr>
            <w:tcW w:w="1485" w:type="pct"/>
          </w:tcPr>
          <w:p w14:paraId="4A02F09F" w14:textId="77777777" w:rsidR="00E524EF" w:rsidRDefault="00E524EF" w:rsidP="00E524EF">
            <w:pPr>
              <w:tabs>
                <w:tab w:val="decimal" w:pos="1026"/>
              </w:tabs>
            </w:pPr>
            <w:r>
              <w:t>198</w:t>
            </w:r>
          </w:p>
        </w:tc>
      </w:tr>
      <w:tr w:rsidR="00E524EF" w14:paraId="5D2BFC6C" w14:textId="77777777" w:rsidTr="00356075">
        <w:tc>
          <w:tcPr>
            <w:tcW w:w="466" w:type="pct"/>
            <w:vMerge/>
          </w:tcPr>
          <w:p w14:paraId="3E55E921" w14:textId="77777777" w:rsidR="00E524EF" w:rsidRDefault="00E524EF" w:rsidP="00E524EF"/>
        </w:tc>
        <w:tc>
          <w:tcPr>
            <w:tcW w:w="1365" w:type="pct"/>
            <w:vMerge/>
          </w:tcPr>
          <w:p w14:paraId="00DD7148" w14:textId="77777777" w:rsidR="00E524EF" w:rsidRDefault="00E524EF" w:rsidP="00E524EF"/>
        </w:tc>
        <w:tc>
          <w:tcPr>
            <w:tcW w:w="1683" w:type="pct"/>
            <w:hideMark/>
          </w:tcPr>
          <w:p w14:paraId="4A4F85E9" w14:textId="77777777" w:rsidR="00E524EF" w:rsidRPr="007931BF" w:rsidRDefault="00E524EF" w:rsidP="00E524EF">
            <w:pPr>
              <w:rPr>
                <w:b/>
              </w:rPr>
            </w:pPr>
            <w:r w:rsidRPr="007931BF">
              <w:rPr>
                <w:b/>
              </w:rPr>
              <w:t>7. Nederland</w:t>
            </w:r>
          </w:p>
        </w:tc>
        <w:tc>
          <w:tcPr>
            <w:tcW w:w="1485" w:type="pct"/>
          </w:tcPr>
          <w:p w14:paraId="67D122AC" w14:textId="77777777" w:rsidR="00E524EF" w:rsidRPr="007931BF" w:rsidRDefault="00E524EF" w:rsidP="00E524EF">
            <w:pPr>
              <w:tabs>
                <w:tab w:val="decimal" w:pos="1026"/>
              </w:tabs>
              <w:rPr>
                <w:b/>
              </w:rPr>
            </w:pPr>
            <w:r>
              <w:rPr>
                <w:b/>
              </w:rPr>
              <w:t>68</w:t>
            </w:r>
          </w:p>
        </w:tc>
      </w:tr>
      <w:tr w:rsidR="00E524EF" w14:paraId="7BC7631D" w14:textId="77777777" w:rsidTr="00356075">
        <w:tc>
          <w:tcPr>
            <w:tcW w:w="466" w:type="pct"/>
            <w:vMerge/>
          </w:tcPr>
          <w:p w14:paraId="7B7F9033" w14:textId="77777777" w:rsidR="00E524EF" w:rsidRDefault="00E524EF" w:rsidP="00E524EF"/>
        </w:tc>
        <w:tc>
          <w:tcPr>
            <w:tcW w:w="1365" w:type="pct"/>
            <w:vMerge w:val="restart"/>
            <w:hideMark/>
          </w:tcPr>
          <w:p w14:paraId="67CBF3FA" w14:textId="77777777" w:rsidR="00E524EF" w:rsidRDefault="00E524EF" w:rsidP="00E524EF">
            <w:r>
              <w:t>Totaal bijdrage</w:t>
            </w:r>
          </w:p>
        </w:tc>
        <w:tc>
          <w:tcPr>
            <w:tcW w:w="1683" w:type="pct"/>
            <w:hideMark/>
          </w:tcPr>
          <w:p w14:paraId="165BBCFA" w14:textId="77777777" w:rsidR="00E524EF" w:rsidRDefault="00E524EF" w:rsidP="00E524EF">
            <w:r>
              <w:t>1. Verenigde Staten</w:t>
            </w:r>
          </w:p>
        </w:tc>
        <w:tc>
          <w:tcPr>
            <w:tcW w:w="1485" w:type="pct"/>
          </w:tcPr>
          <w:p w14:paraId="586D7FA9" w14:textId="77777777" w:rsidR="00E524EF" w:rsidRDefault="00E524EF" w:rsidP="00E524EF">
            <w:pPr>
              <w:tabs>
                <w:tab w:val="decimal" w:pos="1026"/>
              </w:tabs>
            </w:pPr>
            <w:r>
              <w:t>499</w:t>
            </w:r>
          </w:p>
        </w:tc>
      </w:tr>
      <w:tr w:rsidR="00E524EF" w14:paraId="63D7C961" w14:textId="77777777" w:rsidTr="00356075">
        <w:tc>
          <w:tcPr>
            <w:tcW w:w="466" w:type="pct"/>
            <w:vMerge/>
          </w:tcPr>
          <w:p w14:paraId="2B323EE1" w14:textId="77777777" w:rsidR="00E524EF" w:rsidRDefault="00E524EF" w:rsidP="00E524EF"/>
        </w:tc>
        <w:tc>
          <w:tcPr>
            <w:tcW w:w="1365" w:type="pct"/>
            <w:vMerge/>
          </w:tcPr>
          <w:p w14:paraId="41A31495" w14:textId="77777777" w:rsidR="00E524EF" w:rsidRDefault="00E524EF" w:rsidP="00E524EF"/>
        </w:tc>
        <w:tc>
          <w:tcPr>
            <w:tcW w:w="1683" w:type="pct"/>
            <w:hideMark/>
          </w:tcPr>
          <w:p w14:paraId="28595F9D" w14:textId="77777777" w:rsidR="00E524EF" w:rsidRDefault="00E524EF" w:rsidP="00E524EF">
            <w:r>
              <w:t>2. Japan</w:t>
            </w:r>
          </w:p>
        </w:tc>
        <w:tc>
          <w:tcPr>
            <w:tcW w:w="1485" w:type="pct"/>
          </w:tcPr>
          <w:p w14:paraId="07B5C874" w14:textId="77777777" w:rsidR="00E524EF" w:rsidRDefault="00E524EF" w:rsidP="00E524EF">
            <w:pPr>
              <w:tabs>
                <w:tab w:val="decimal" w:pos="1026"/>
              </w:tabs>
            </w:pPr>
            <w:r>
              <w:t>385</w:t>
            </w:r>
          </w:p>
        </w:tc>
      </w:tr>
      <w:tr w:rsidR="00E524EF" w14:paraId="21719097" w14:textId="77777777" w:rsidTr="00356075">
        <w:tc>
          <w:tcPr>
            <w:tcW w:w="466" w:type="pct"/>
            <w:vMerge/>
          </w:tcPr>
          <w:p w14:paraId="685573C4" w14:textId="77777777" w:rsidR="00E524EF" w:rsidRDefault="00E524EF" w:rsidP="00E524EF"/>
        </w:tc>
        <w:tc>
          <w:tcPr>
            <w:tcW w:w="1365" w:type="pct"/>
            <w:vMerge/>
          </w:tcPr>
          <w:p w14:paraId="314704C4" w14:textId="77777777" w:rsidR="00E524EF" w:rsidRDefault="00E524EF" w:rsidP="00E524EF"/>
        </w:tc>
        <w:tc>
          <w:tcPr>
            <w:tcW w:w="1683" w:type="pct"/>
          </w:tcPr>
          <w:p w14:paraId="0C8E8F86" w14:textId="77777777" w:rsidR="00E524EF" w:rsidRDefault="00E524EF" w:rsidP="00E524EF">
            <w:r>
              <w:t>3. Noorwegen</w:t>
            </w:r>
          </w:p>
        </w:tc>
        <w:tc>
          <w:tcPr>
            <w:tcW w:w="1485" w:type="pct"/>
          </w:tcPr>
          <w:p w14:paraId="5424C39F" w14:textId="77777777" w:rsidR="00E524EF" w:rsidRDefault="00E524EF" w:rsidP="00E524EF">
            <w:pPr>
              <w:tabs>
                <w:tab w:val="decimal" w:pos="1026"/>
              </w:tabs>
            </w:pPr>
            <w:r>
              <w:t>203</w:t>
            </w:r>
          </w:p>
        </w:tc>
      </w:tr>
      <w:tr w:rsidR="00E524EF" w14:paraId="2B6AA09B" w14:textId="77777777" w:rsidTr="00356075">
        <w:tc>
          <w:tcPr>
            <w:tcW w:w="466" w:type="pct"/>
            <w:vMerge/>
          </w:tcPr>
          <w:p w14:paraId="1CC4C4ED" w14:textId="77777777" w:rsidR="00E524EF" w:rsidRDefault="00E524EF" w:rsidP="00E524EF"/>
        </w:tc>
        <w:tc>
          <w:tcPr>
            <w:tcW w:w="1365" w:type="pct"/>
            <w:vMerge/>
          </w:tcPr>
          <w:p w14:paraId="43C38A4B" w14:textId="77777777" w:rsidR="00E524EF" w:rsidRDefault="00E524EF" w:rsidP="00E524EF"/>
        </w:tc>
        <w:tc>
          <w:tcPr>
            <w:tcW w:w="1683" w:type="pct"/>
            <w:hideMark/>
          </w:tcPr>
          <w:p w14:paraId="3F9D430D" w14:textId="77777777" w:rsidR="00E524EF" w:rsidRPr="004D6E82" w:rsidRDefault="00E524EF" w:rsidP="00E524EF">
            <w:pPr>
              <w:rPr>
                <w:b/>
              </w:rPr>
            </w:pPr>
            <w:r>
              <w:rPr>
                <w:b/>
              </w:rPr>
              <w:t>8</w:t>
            </w:r>
            <w:r w:rsidRPr="004D6E82">
              <w:rPr>
                <w:b/>
              </w:rPr>
              <w:t>. Nederland</w:t>
            </w:r>
          </w:p>
        </w:tc>
        <w:tc>
          <w:tcPr>
            <w:tcW w:w="1485" w:type="pct"/>
          </w:tcPr>
          <w:p w14:paraId="0F222178" w14:textId="77777777" w:rsidR="00E524EF" w:rsidRPr="004D6E82" w:rsidRDefault="00E524EF" w:rsidP="00E524EF">
            <w:pPr>
              <w:tabs>
                <w:tab w:val="decimal" w:pos="1026"/>
              </w:tabs>
              <w:rPr>
                <w:b/>
              </w:rPr>
            </w:pPr>
            <w:r>
              <w:rPr>
                <w:b/>
              </w:rPr>
              <w:t>104</w:t>
            </w:r>
          </w:p>
        </w:tc>
      </w:tr>
      <w:tr w:rsidR="00E524EF" w14:paraId="26988873" w14:textId="77777777" w:rsidTr="00356075">
        <w:tc>
          <w:tcPr>
            <w:tcW w:w="466" w:type="pct"/>
            <w:shd w:val="clear" w:color="auto" w:fill="D9D9D9"/>
          </w:tcPr>
          <w:p w14:paraId="34A03400" w14:textId="77777777" w:rsidR="00E524EF" w:rsidRDefault="00E524EF" w:rsidP="00E524EF"/>
        </w:tc>
        <w:tc>
          <w:tcPr>
            <w:tcW w:w="1365" w:type="pct"/>
            <w:shd w:val="clear" w:color="auto" w:fill="D9D9D9"/>
          </w:tcPr>
          <w:p w14:paraId="00F7A7BD" w14:textId="77777777" w:rsidR="00E524EF" w:rsidRDefault="00E524EF" w:rsidP="00E524EF"/>
        </w:tc>
        <w:tc>
          <w:tcPr>
            <w:tcW w:w="1683" w:type="pct"/>
            <w:shd w:val="clear" w:color="auto" w:fill="D9D9D9"/>
          </w:tcPr>
          <w:p w14:paraId="37EAB8EE" w14:textId="77777777" w:rsidR="00E524EF" w:rsidRDefault="00E524EF" w:rsidP="00E524EF"/>
        </w:tc>
        <w:tc>
          <w:tcPr>
            <w:tcW w:w="1485" w:type="pct"/>
            <w:shd w:val="clear" w:color="auto" w:fill="D9D9D9"/>
          </w:tcPr>
          <w:p w14:paraId="42C54FF0" w14:textId="77777777" w:rsidR="00E524EF" w:rsidRDefault="00E524EF" w:rsidP="00E524EF">
            <w:pPr>
              <w:tabs>
                <w:tab w:val="decimal" w:pos="1026"/>
              </w:tabs>
            </w:pPr>
          </w:p>
        </w:tc>
      </w:tr>
      <w:tr w:rsidR="00E524EF" w14:paraId="6568E60A" w14:textId="77777777" w:rsidTr="00356075">
        <w:tc>
          <w:tcPr>
            <w:tcW w:w="466" w:type="pct"/>
            <w:vMerge w:val="restart"/>
            <w:hideMark/>
          </w:tcPr>
          <w:p w14:paraId="44B76A96" w14:textId="77777777" w:rsidR="00E524EF" w:rsidRDefault="00E524EF" w:rsidP="00E524EF">
            <w:r>
              <w:t>2015</w:t>
            </w:r>
          </w:p>
        </w:tc>
        <w:tc>
          <w:tcPr>
            <w:tcW w:w="1365" w:type="pct"/>
            <w:vMerge w:val="restart"/>
            <w:hideMark/>
          </w:tcPr>
          <w:p w14:paraId="4B80C8EB" w14:textId="77777777" w:rsidR="00E524EF" w:rsidRDefault="00E524EF" w:rsidP="00E524EF">
            <w:r w:rsidRPr="00A13499">
              <w:rPr>
                <w:i/>
              </w:rPr>
              <w:t>Core</w:t>
            </w:r>
            <w:r>
              <w:t>-bijdrage</w:t>
            </w:r>
          </w:p>
          <w:p w14:paraId="26A8C3B4" w14:textId="77777777" w:rsidR="00E524EF" w:rsidRDefault="00E524EF" w:rsidP="00E524EF"/>
        </w:tc>
        <w:tc>
          <w:tcPr>
            <w:tcW w:w="1683" w:type="pct"/>
            <w:hideMark/>
          </w:tcPr>
          <w:p w14:paraId="33688C2F" w14:textId="77777777" w:rsidR="00E524EF" w:rsidRDefault="00E524EF" w:rsidP="00E524EF">
            <w:r>
              <w:t>1. Verenigd Koninkrijk</w:t>
            </w:r>
          </w:p>
        </w:tc>
        <w:tc>
          <w:tcPr>
            <w:tcW w:w="1485" w:type="pct"/>
          </w:tcPr>
          <w:p w14:paraId="4CD6BEF7" w14:textId="77777777" w:rsidR="00E524EF" w:rsidRDefault="00E524EF" w:rsidP="00E524EF">
            <w:pPr>
              <w:tabs>
                <w:tab w:val="decimal" w:pos="1026"/>
              </w:tabs>
            </w:pPr>
            <w:r>
              <w:t>83</w:t>
            </w:r>
          </w:p>
        </w:tc>
      </w:tr>
      <w:tr w:rsidR="00E524EF" w14:paraId="5B007B14" w14:textId="77777777" w:rsidTr="00356075">
        <w:tc>
          <w:tcPr>
            <w:tcW w:w="466" w:type="pct"/>
            <w:vMerge/>
          </w:tcPr>
          <w:p w14:paraId="044E0572" w14:textId="77777777" w:rsidR="00E524EF" w:rsidRDefault="00E524EF" w:rsidP="00E524EF"/>
        </w:tc>
        <w:tc>
          <w:tcPr>
            <w:tcW w:w="1365" w:type="pct"/>
            <w:vMerge/>
          </w:tcPr>
          <w:p w14:paraId="4033AAE6" w14:textId="77777777" w:rsidR="00E524EF" w:rsidRDefault="00E524EF" w:rsidP="00E524EF"/>
        </w:tc>
        <w:tc>
          <w:tcPr>
            <w:tcW w:w="1683" w:type="pct"/>
            <w:hideMark/>
          </w:tcPr>
          <w:p w14:paraId="19301425" w14:textId="77777777" w:rsidR="00E524EF" w:rsidRDefault="00E524EF" w:rsidP="00E524EF">
            <w:r>
              <w:t>2. Noorwegen</w:t>
            </w:r>
          </w:p>
        </w:tc>
        <w:tc>
          <w:tcPr>
            <w:tcW w:w="1485" w:type="pct"/>
          </w:tcPr>
          <w:p w14:paraId="64819A11" w14:textId="77777777" w:rsidR="00E524EF" w:rsidRDefault="00E524EF" w:rsidP="00E524EF">
            <w:pPr>
              <w:tabs>
                <w:tab w:val="decimal" w:pos="1026"/>
              </w:tabs>
            </w:pPr>
            <w:r>
              <w:t>81</w:t>
            </w:r>
          </w:p>
        </w:tc>
      </w:tr>
      <w:tr w:rsidR="00E524EF" w14:paraId="0EFAB0ED" w14:textId="77777777" w:rsidTr="00356075">
        <w:tc>
          <w:tcPr>
            <w:tcW w:w="466" w:type="pct"/>
            <w:vMerge/>
          </w:tcPr>
          <w:p w14:paraId="3C7EA69A" w14:textId="77777777" w:rsidR="00E524EF" w:rsidRDefault="00E524EF" w:rsidP="00E524EF"/>
        </w:tc>
        <w:tc>
          <w:tcPr>
            <w:tcW w:w="1365" w:type="pct"/>
            <w:vMerge/>
          </w:tcPr>
          <w:p w14:paraId="61CA30D8" w14:textId="77777777" w:rsidR="00E524EF" w:rsidRDefault="00E524EF" w:rsidP="00E524EF"/>
        </w:tc>
        <w:tc>
          <w:tcPr>
            <w:tcW w:w="1683" w:type="pct"/>
          </w:tcPr>
          <w:p w14:paraId="24C0B293" w14:textId="77777777" w:rsidR="00E524EF" w:rsidRDefault="00E524EF" w:rsidP="00E524EF">
            <w:r>
              <w:t>3. Verenigde Staten</w:t>
            </w:r>
          </w:p>
        </w:tc>
        <w:tc>
          <w:tcPr>
            <w:tcW w:w="1485" w:type="pct"/>
          </w:tcPr>
          <w:p w14:paraId="0F8F7EA8" w14:textId="77777777" w:rsidR="00E524EF" w:rsidRDefault="00E524EF" w:rsidP="00E524EF">
            <w:pPr>
              <w:tabs>
                <w:tab w:val="decimal" w:pos="1026"/>
              </w:tabs>
            </w:pPr>
            <w:r>
              <w:t>75</w:t>
            </w:r>
          </w:p>
        </w:tc>
      </w:tr>
      <w:tr w:rsidR="00E524EF" w14:paraId="4B91E75A" w14:textId="77777777" w:rsidTr="00356075">
        <w:tc>
          <w:tcPr>
            <w:tcW w:w="466" w:type="pct"/>
            <w:vMerge/>
          </w:tcPr>
          <w:p w14:paraId="426228EC" w14:textId="77777777" w:rsidR="00E524EF" w:rsidRDefault="00E524EF" w:rsidP="00E524EF"/>
        </w:tc>
        <w:tc>
          <w:tcPr>
            <w:tcW w:w="1365" w:type="pct"/>
            <w:vMerge/>
          </w:tcPr>
          <w:p w14:paraId="4AC8C1BF" w14:textId="77777777" w:rsidR="00E524EF" w:rsidRDefault="00E524EF" w:rsidP="00E524EF"/>
        </w:tc>
        <w:tc>
          <w:tcPr>
            <w:tcW w:w="1683" w:type="pct"/>
            <w:hideMark/>
          </w:tcPr>
          <w:p w14:paraId="12BD9854" w14:textId="77777777" w:rsidR="00E524EF" w:rsidRPr="007B7594" w:rsidRDefault="00E524EF" w:rsidP="00E524EF">
            <w:pPr>
              <w:rPr>
                <w:b/>
              </w:rPr>
            </w:pPr>
            <w:r w:rsidRPr="007B7594">
              <w:rPr>
                <w:b/>
              </w:rPr>
              <w:t>11. Nederland</w:t>
            </w:r>
          </w:p>
        </w:tc>
        <w:tc>
          <w:tcPr>
            <w:tcW w:w="1485" w:type="pct"/>
          </w:tcPr>
          <w:p w14:paraId="0E897D20" w14:textId="77777777" w:rsidR="00E524EF" w:rsidRPr="007B7594" w:rsidRDefault="00E524EF" w:rsidP="00E524EF">
            <w:pPr>
              <w:tabs>
                <w:tab w:val="decimal" w:pos="1026"/>
              </w:tabs>
              <w:rPr>
                <w:b/>
              </w:rPr>
            </w:pPr>
            <w:r>
              <w:rPr>
                <w:b/>
              </w:rPr>
              <w:t>20</w:t>
            </w:r>
          </w:p>
        </w:tc>
      </w:tr>
      <w:tr w:rsidR="00E524EF" w14:paraId="185A513E" w14:textId="77777777" w:rsidTr="00356075">
        <w:tc>
          <w:tcPr>
            <w:tcW w:w="466" w:type="pct"/>
            <w:vMerge/>
          </w:tcPr>
          <w:p w14:paraId="37654069" w14:textId="77777777" w:rsidR="00E524EF" w:rsidRDefault="00E524EF" w:rsidP="00E524EF"/>
        </w:tc>
        <w:tc>
          <w:tcPr>
            <w:tcW w:w="1365" w:type="pct"/>
            <w:vMerge w:val="restart"/>
            <w:hideMark/>
          </w:tcPr>
          <w:p w14:paraId="4264D862" w14:textId="77777777" w:rsidR="00E524EF" w:rsidRDefault="00E524EF" w:rsidP="00E524EF">
            <w:r w:rsidRPr="00A13499">
              <w:rPr>
                <w:i/>
              </w:rPr>
              <w:t>Non-core</w:t>
            </w:r>
            <w:r>
              <w:t>-bijdragen</w:t>
            </w:r>
          </w:p>
          <w:p w14:paraId="31CDF215" w14:textId="77777777" w:rsidR="00E524EF" w:rsidRDefault="00E524EF" w:rsidP="00E524EF"/>
        </w:tc>
        <w:tc>
          <w:tcPr>
            <w:tcW w:w="1683" w:type="pct"/>
            <w:hideMark/>
          </w:tcPr>
          <w:p w14:paraId="44CCD83C" w14:textId="77777777" w:rsidR="00E524EF" w:rsidRDefault="00E524EF" w:rsidP="00E524EF">
            <w:r>
              <w:t>1. Japan</w:t>
            </w:r>
          </w:p>
        </w:tc>
        <w:tc>
          <w:tcPr>
            <w:tcW w:w="1485" w:type="pct"/>
          </w:tcPr>
          <w:p w14:paraId="01905004" w14:textId="77777777" w:rsidR="00E524EF" w:rsidRDefault="00E524EF" w:rsidP="00E524EF">
            <w:pPr>
              <w:tabs>
                <w:tab w:val="decimal" w:pos="1026"/>
              </w:tabs>
            </w:pPr>
            <w:r>
              <w:t>288</w:t>
            </w:r>
          </w:p>
        </w:tc>
      </w:tr>
      <w:tr w:rsidR="00E524EF" w14:paraId="301B4C02" w14:textId="77777777" w:rsidTr="00356075">
        <w:tc>
          <w:tcPr>
            <w:tcW w:w="466" w:type="pct"/>
            <w:vMerge/>
          </w:tcPr>
          <w:p w14:paraId="5BEB7C4F" w14:textId="77777777" w:rsidR="00E524EF" w:rsidRDefault="00E524EF" w:rsidP="00E524EF"/>
        </w:tc>
        <w:tc>
          <w:tcPr>
            <w:tcW w:w="1365" w:type="pct"/>
            <w:vMerge/>
          </w:tcPr>
          <w:p w14:paraId="740CBE4C" w14:textId="77777777" w:rsidR="00E524EF" w:rsidRDefault="00E524EF" w:rsidP="00E524EF"/>
        </w:tc>
        <w:tc>
          <w:tcPr>
            <w:tcW w:w="1683" w:type="pct"/>
            <w:hideMark/>
          </w:tcPr>
          <w:p w14:paraId="27ED58CE" w14:textId="77777777" w:rsidR="00E524EF" w:rsidRDefault="00E524EF" w:rsidP="00E524EF">
            <w:r>
              <w:t>2. Argentinië</w:t>
            </w:r>
          </w:p>
        </w:tc>
        <w:tc>
          <w:tcPr>
            <w:tcW w:w="1485" w:type="pct"/>
          </w:tcPr>
          <w:p w14:paraId="57749F97" w14:textId="77777777" w:rsidR="00E524EF" w:rsidRDefault="00E524EF" w:rsidP="00E524EF">
            <w:pPr>
              <w:tabs>
                <w:tab w:val="decimal" w:pos="1026"/>
              </w:tabs>
            </w:pPr>
            <w:r>
              <w:t>246</w:t>
            </w:r>
          </w:p>
        </w:tc>
      </w:tr>
      <w:tr w:rsidR="00E524EF" w14:paraId="0D2AC450" w14:textId="77777777" w:rsidTr="00356075">
        <w:tc>
          <w:tcPr>
            <w:tcW w:w="466" w:type="pct"/>
            <w:vMerge/>
          </w:tcPr>
          <w:p w14:paraId="223FAEA3" w14:textId="77777777" w:rsidR="00E524EF" w:rsidRDefault="00E524EF" w:rsidP="00E524EF"/>
        </w:tc>
        <w:tc>
          <w:tcPr>
            <w:tcW w:w="1365" w:type="pct"/>
            <w:vMerge/>
          </w:tcPr>
          <w:p w14:paraId="001B68C1" w14:textId="77777777" w:rsidR="00E524EF" w:rsidRDefault="00E524EF" w:rsidP="00E524EF"/>
        </w:tc>
        <w:tc>
          <w:tcPr>
            <w:tcW w:w="1683" w:type="pct"/>
          </w:tcPr>
          <w:p w14:paraId="368E56CE" w14:textId="77777777" w:rsidR="00E524EF" w:rsidRDefault="00E524EF" w:rsidP="00E524EF">
            <w:r>
              <w:t>3. Verenigde Staten</w:t>
            </w:r>
          </w:p>
        </w:tc>
        <w:tc>
          <w:tcPr>
            <w:tcW w:w="1485" w:type="pct"/>
          </w:tcPr>
          <w:p w14:paraId="0DA4FA80" w14:textId="77777777" w:rsidR="00E524EF" w:rsidRDefault="00E524EF" w:rsidP="00E524EF">
            <w:pPr>
              <w:tabs>
                <w:tab w:val="decimal" w:pos="1026"/>
              </w:tabs>
            </w:pPr>
            <w:r>
              <w:t>189</w:t>
            </w:r>
          </w:p>
        </w:tc>
      </w:tr>
      <w:tr w:rsidR="00E524EF" w14:paraId="5F11250D" w14:textId="77777777" w:rsidTr="00356075">
        <w:tc>
          <w:tcPr>
            <w:tcW w:w="466" w:type="pct"/>
            <w:vMerge/>
          </w:tcPr>
          <w:p w14:paraId="3CB9F34D" w14:textId="77777777" w:rsidR="00E524EF" w:rsidRDefault="00E524EF" w:rsidP="00E524EF"/>
        </w:tc>
        <w:tc>
          <w:tcPr>
            <w:tcW w:w="1365" w:type="pct"/>
            <w:vMerge/>
          </w:tcPr>
          <w:p w14:paraId="44B79A54" w14:textId="77777777" w:rsidR="00E524EF" w:rsidRDefault="00E524EF" w:rsidP="00E524EF"/>
        </w:tc>
        <w:tc>
          <w:tcPr>
            <w:tcW w:w="1683" w:type="pct"/>
            <w:hideMark/>
          </w:tcPr>
          <w:p w14:paraId="52A85BAF" w14:textId="77777777" w:rsidR="00E524EF" w:rsidRPr="008C1639" w:rsidRDefault="00E524EF" w:rsidP="00E524EF">
            <w:pPr>
              <w:rPr>
                <w:b/>
              </w:rPr>
            </w:pPr>
            <w:r>
              <w:rPr>
                <w:b/>
              </w:rPr>
              <w:t>10</w:t>
            </w:r>
            <w:r w:rsidRPr="008C1639">
              <w:rPr>
                <w:b/>
              </w:rPr>
              <w:t>. Nederland</w:t>
            </w:r>
          </w:p>
        </w:tc>
        <w:tc>
          <w:tcPr>
            <w:tcW w:w="1485" w:type="pct"/>
          </w:tcPr>
          <w:p w14:paraId="1FD23A3E" w14:textId="77777777" w:rsidR="00E524EF" w:rsidRPr="008C1639" w:rsidRDefault="00E524EF" w:rsidP="00E524EF">
            <w:pPr>
              <w:tabs>
                <w:tab w:val="decimal" w:pos="1026"/>
              </w:tabs>
              <w:rPr>
                <w:b/>
              </w:rPr>
            </w:pPr>
            <w:r>
              <w:rPr>
                <w:b/>
              </w:rPr>
              <w:t>56</w:t>
            </w:r>
          </w:p>
        </w:tc>
      </w:tr>
      <w:tr w:rsidR="00E524EF" w14:paraId="402735B7" w14:textId="77777777" w:rsidTr="00356075">
        <w:tc>
          <w:tcPr>
            <w:tcW w:w="466" w:type="pct"/>
            <w:vMerge/>
          </w:tcPr>
          <w:p w14:paraId="2FC75D55" w14:textId="77777777" w:rsidR="00E524EF" w:rsidRDefault="00E524EF" w:rsidP="00E524EF"/>
        </w:tc>
        <w:tc>
          <w:tcPr>
            <w:tcW w:w="1365" w:type="pct"/>
            <w:vMerge w:val="restart"/>
            <w:hideMark/>
          </w:tcPr>
          <w:p w14:paraId="0E545827" w14:textId="77777777" w:rsidR="00E524EF" w:rsidRDefault="00E524EF" w:rsidP="00E524EF">
            <w:r>
              <w:t>Totaal bijdrage</w:t>
            </w:r>
          </w:p>
        </w:tc>
        <w:tc>
          <w:tcPr>
            <w:tcW w:w="1683" w:type="pct"/>
            <w:hideMark/>
          </w:tcPr>
          <w:p w14:paraId="54C69494" w14:textId="77777777" w:rsidR="00E524EF" w:rsidRDefault="00E524EF" w:rsidP="00E524EF">
            <w:r>
              <w:t>1. Japan</w:t>
            </w:r>
          </w:p>
        </w:tc>
        <w:tc>
          <w:tcPr>
            <w:tcW w:w="1485" w:type="pct"/>
          </w:tcPr>
          <w:p w14:paraId="613EC562" w14:textId="77777777" w:rsidR="00E524EF" w:rsidRDefault="00E524EF" w:rsidP="00E524EF">
            <w:pPr>
              <w:tabs>
                <w:tab w:val="decimal" w:pos="1026"/>
              </w:tabs>
            </w:pPr>
            <w:r>
              <w:t>355</w:t>
            </w:r>
          </w:p>
        </w:tc>
      </w:tr>
      <w:tr w:rsidR="00E524EF" w14:paraId="142F8DA4" w14:textId="77777777" w:rsidTr="00356075">
        <w:tc>
          <w:tcPr>
            <w:tcW w:w="466" w:type="pct"/>
            <w:vMerge/>
          </w:tcPr>
          <w:p w14:paraId="3B4483A6" w14:textId="77777777" w:rsidR="00E524EF" w:rsidRDefault="00E524EF" w:rsidP="00E524EF"/>
        </w:tc>
        <w:tc>
          <w:tcPr>
            <w:tcW w:w="1365" w:type="pct"/>
            <w:vMerge/>
          </w:tcPr>
          <w:p w14:paraId="4E7B4CCC" w14:textId="77777777" w:rsidR="00E524EF" w:rsidRDefault="00E524EF" w:rsidP="00E524EF"/>
        </w:tc>
        <w:tc>
          <w:tcPr>
            <w:tcW w:w="1683" w:type="pct"/>
            <w:hideMark/>
          </w:tcPr>
          <w:p w14:paraId="6B3E119D" w14:textId="77777777" w:rsidR="00E524EF" w:rsidRDefault="00E524EF" w:rsidP="00E524EF">
            <w:r>
              <w:t>2. Verenigde Staten</w:t>
            </w:r>
          </w:p>
        </w:tc>
        <w:tc>
          <w:tcPr>
            <w:tcW w:w="1485" w:type="pct"/>
          </w:tcPr>
          <w:p w14:paraId="47369644" w14:textId="77777777" w:rsidR="00E524EF" w:rsidRDefault="00E524EF" w:rsidP="00E524EF">
            <w:pPr>
              <w:tabs>
                <w:tab w:val="decimal" w:pos="1026"/>
              </w:tabs>
            </w:pPr>
            <w:r>
              <w:t>266</w:t>
            </w:r>
          </w:p>
        </w:tc>
      </w:tr>
      <w:tr w:rsidR="00E524EF" w14:paraId="388DA138" w14:textId="77777777" w:rsidTr="00356075">
        <w:tc>
          <w:tcPr>
            <w:tcW w:w="466" w:type="pct"/>
            <w:vMerge/>
          </w:tcPr>
          <w:p w14:paraId="7F59855F" w14:textId="77777777" w:rsidR="00E524EF" w:rsidRDefault="00E524EF" w:rsidP="00E524EF"/>
        </w:tc>
        <w:tc>
          <w:tcPr>
            <w:tcW w:w="1365" w:type="pct"/>
            <w:vMerge/>
          </w:tcPr>
          <w:p w14:paraId="285E8194" w14:textId="77777777" w:rsidR="00E524EF" w:rsidRDefault="00E524EF" w:rsidP="00E524EF"/>
        </w:tc>
        <w:tc>
          <w:tcPr>
            <w:tcW w:w="1683" w:type="pct"/>
          </w:tcPr>
          <w:p w14:paraId="4C9DCC2D" w14:textId="77777777" w:rsidR="00E524EF" w:rsidRDefault="00E524EF" w:rsidP="00E524EF">
            <w:r>
              <w:t>3. Verenigd Koninkrijk</w:t>
            </w:r>
          </w:p>
        </w:tc>
        <w:tc>
          <w:tcPr>
            <w:tcW w:w="1485" w:type="pct"/>
          </w:tcPr>
          <w:p w14:paraId="5CAECA24" w14:textId="77777777" w:rsidR="00E524EF" w:rsidRDefault="00E524EF" w:rsidP="00E524EF">
            <w:pPr>
              <w:tabs>
                <w:tab w:val="decimal" w:pos="1026"/>
              </w:tabs>
            </w:pPr>
            <w:r>
              <w:t>258</w:t>
            </w:r>
          </w:p>
        </w:tc>
      </w:tr>
      <w:tr w:rsidR="00E524EF" w14:paraId="66F98E30" w14:textId="77777777" w:rsidTr="00356075">
        <w:tc>
          <w:tcPr>
            <w:tcW w:w="466" w:type="pct"/>
            <w:vMerge/>
          </w:tcPr>
          <w:p w14:paraId="2C6EA887" w14:textId="77777777" w:rsidR="00E524EF" w:rsidRDefault="00E524EF" w:rsidP="00E524EF"/>
        </w:tc>
        <w:tc>
          <w:tcPr>
            <w:tcW w:w="1365" w:type="pct"/>
            <w:vMerge/>
          </w:tcPr>
          <w:p w14:paraId="2C440BF3" w14:textId="77777777" w:rsidR="00E524EF" w:rsidRDefault="00E524EF" w:rsidP="00E524EF"/>
        </w:tc>
        <w:tc>
          <w:tcPr>
            <w:tcW w:w="1683" w:type="pct"/>
            <w:hideMark/>
          </w:tcPr>
          <w:p w14:paraId="498B3900" w14:textId="77777777" w:rsidR="00E524EF" w:rsidRPr="00FF65A6" w:rsidRDefault="00E524EF" w:rsidP="00E524EF">
            <w:pPr>
              <w:rPr>
                <w:b/>
              </w:rPr>
            </w:pPr>
            <w:r>
              <w:rPr>
                <w:b/>
              </w:rPr>
              <w:t>10</w:t>
            </w:r>
            <w:r w:rsidRPr="00FF65A6">
              <w:rPr>
                <w:b/>
              </w:rPr>
              <w:t>. Nederland</w:t>
            </w:r>
          </w:p>
        </w:tc>
        <w:tc>
          <w:tcPr>
            <w:tcW w:w="1485" w:type="pct"/>
          </w:tcPr>
          <w:p w14:paraId="7D169907" w14:textId="77777777" w:rsidR="00E524EF" w:rsidRPr="00FF65A6" w:rsidRDefault="00E524EF" w:rsidP="00E524EF">
            <w:pPr>
              <w:tabs>
                <w:tab w:val="decimal" w:pos="1026"/>
              </w:tabs>
              <w:rPr>
                <w:b/>
              </w:rPr>
            </w:pPr>
            <w:r>
              <w:rPr>
                <w:b/>
              </w:rPr>
              <w:t>76</w:t>
            </w:r>
          </w:p>
        </w:tc>
      </w:tr>
    </w:tbl>
    <w:p w14:paraId="686D21CA" w14:textId="1DFA54FA" w:rsidR="00356075" w:rsidRDefault="00356075"/>
    <w:p w14:paraId="279AB1F8" w14:textId="2A066494" w:rsidR="00356075" w:rsidRDefault="00356075"/>
    <w:p w14:paraId="524D5130" w14:textId="2F67E494" w:rsidR="00356075" w:rsidRDefault="00356075"/>
    <w:p w14:paraId="3FB8CC3F" w14:textId="69C98FC0" w:rsidR="00356075" w:rsidRDefault="00356075"/>
    <w:p w14:paraId="749CAD09" w14:textId="6642ACB7" w:rsidR="00356075" w:rsidRDefault="00356075"/>
    <w:p w14:paraId="26E8D50E" w14:textId="114A1F7D" w:rsidR="00356075" w:rsidRDefault="00356075"/>
    <w:p w14:paraId="63A6C5BD" w14:textId="77777777" w:rsidR="00356075" w:rsidRDefault="00356075"/>
    <w:tbl>
      <w:tblPr>
        <w:tblW w:w="4705" w:type="pct"/>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77"/>
        <w:gridCol w:w="1977"/>
        <w:gridCol w:w="2438"/>
        <w:gridCol w:w="2151"/>
      </w:tblGrid>
      <w:tr w:rsidR="00356075" w14:paraId="0D430C89" w14:textId="77777777" w:rsidTr="00356075">
        <w:tc>
          <w:tcPr>
            <w:tcW w:w="467" w:type="pct"/>
            <w:shd w:val="clear" w:color="auto" w:fill="FFFFFF" w:themeFill="background1"/>
          </w:tcPr>
          <w:p w14:paraId="5440DB12" w14:textId="294359BA" w:rsidR="00356075" w:rsidRDefault="00356075" w:rsidP="00356075">
            <w:pPr>
              <w:ind w:right="-211"/>
            </w:pPr>
            <w:r w:rsidRPr="00A13499">
              <w:rPr>
                <w:b/>
              </w:rPr>
              <w:t>Jaar</w:t>
            </w:r>
          </w:p>
        </w:tc>
        <w:tc>
          <w:tcPr>
            <w:tcW w:w="1365" w:type="pct"/>
            <w:shd w:val="clear" w:color="auto" w:fill="FFFFFF" w:themeFill="background1"/>
          </w:tcPr>
          <w:p w14:paraId="57212737" w14:textId="6754A1DF" w:rsidR="00356075" w:rsidRDefault="00356075" w:rsidP="00356075">
            <w:pPr>
              <w:ind w:right="-211"/>
            </w:pPr>
            <w:r w:rsidRPr="00A13499">
              <w:rPr>
                <w:b/>
              </w:rPr>
              <w:t>Bijdrage</w:t>
            </w:r>
          </w:p>
        </w:tc>
        <w:tc>
          <w:tcPr>
            <w:tcW w:w="1683" w:type="pct"/>
            <w:shd w:val="clear" w:color="auto" w:fill="FFFFFF" w:themeFill="background1"/>
          </w:tcPr>
          <w:p w14:paraId="2DEA557A" w14:textId="34D2E7EA" w:rsidR="00356075" w:rsidRDefault="00356075" w:rsidP="00356075">
            <w:pPr>
              <w:ind w:right="-211"/>
            </w:pPr>
            <w:r w:rsidRPr="00A13499">
              <w:rPr>
                <w:b/>
              </w:rPr>
              <w:t>Ranking/donor</w:t>
            </w:r>
          </w:p>
        </w:tc>
        <w:tc>
          <w:tcPr>
            <w:tcW w:w="1485" w:type="pct"/>
            <w:shd w:val="clear" w:color="auto" w:fill="FFFFFF" w:themeFill="background1"/>
          </w:tcPr>
          <w:p w14:paraId="11DE03C3" w14:textId="7C38C751" w:rsidR="00356075" w:rsidRDefault="00356075" w:rsidP="00356075">
            <w:pPr>
              <w:tabs>
                <w:tab w:val="decimal" w:pos="1167"/>
              </w:tabs>
              <w:ind w:right="-211"/>
            </w:pPr>
            <w:r w:rsidRPr="00A13499">
              <w:rPr>
                <w:b/>
              </w:rPr>
              <w:t>Bedrag</w:t>
            </w:r>
          </w:p>
        </w:tc>
      </w:tr>
      <w:tr w:rsidR="00356075" w14:paraId="31134EDC" w14:textId="77777777" w:rsidTr="00356075">
        <w:tc>
          <w:tcPr>
            <w:tcW w:w="467" w:type="pct"/>
            <w:shd w:val="clear" w:color="auto" w:fill="D9D9D9"/>
          </w:tcPr>
          <w:p w14:paraId="0ED0AFF7" w14:textId="77777777" w:rsidR="00356075" w:rsidRDefault="00356075" w:rsidP="00356075">
            <w:pPr>
              <w:ind w:right="-211"/>
            </w:pPr>
          </w:p>
        </w:tc>
        <w:tc>
          <w:tcPr>
            <w:tcW w:w="1365" w:type="pct"/>
            <w:shd w:val="clear" w:color="auto" w:fill="D9D9D9"/>
          </w:tcPr>
          <w:p w14:paraId="76FB591D" w14:textId="77777777" w:rsidR="00356075" w:rsidRDefault="00356075" w:rsidP="00356075">
            <w:pPr>
              <w:ind w:right="-211"/>
            </w:pPr>
          </w:p>
        </w:tc>
        <w:tc>
          <w:tcPr>
            <w:tcW w:w="1683" w:type="pct"/>
            <w:shd w:val="clear" w:color="auto" w:fill="D9D9D9"/>
          </w:tcPr>
          <w:p w14:paraId="2396AB31" w14:textId="77777777" w:rsidR="00356075" w:rsidRDefault="00356075" w:rsidP="00356075">
            <w:pPr>
              <w:ind w:right="-211"/>
            </w:pPr>
          </w:p>
        </w:tc>
        <w:tc>
          <w:tcPr>
            <w:tcW w:w="1485" w:type="pct"/>
            <w:shd w:val="clear" w:color="auto" w:fill="D9D9D9"/>
          </w:tcPr>
          <w:p w14:paraId="663241CD" w14:textId="77777777" w:rsidR="00356075" w:rsidRDefault="00356075" w:rsidP="00356075">
            <w:pPr>
              <w:tabs>
                <w:tab w:val="decimal" w:pos="1167"/>
              </w:tabs>
              <w:ind w:right="-211"/>
            </w:pPr>
          </w:p>
        </w:tc>
      </w:tr>
      <w:tr w:rsidR="00356075" w14:paraId="4AD3A816" w14:textId="77777777" w:rsidTr="00356075">
        <w:tc>
          <w:tcPr>
            <w:tcW w:w="467" w:type="pct"/>
            <w:vMerge w:val="restart"/>
            <w:hideMark/>
          </w:tcPr>
          <w:p w14:paraId="4CC50B4A" w14:textId="77777777" w:rsidR="00356075" w:rsidRDefault="00356075" w:rsidP="00356075">
            <w:pPr>
              <w:ind w:right="-211"/>
            </w:pPr>
            <w:r>
              <w:t>2016</w:t>
            </w:r>
          </w:p>
          <w:p w14:paraId="3E4EE6A8" w14:textId="77777777" w:rsidR="00356075" w:rsidRDefault="00356075" w:rsidP="00356075">
            <w:pPr>
              <w:ind w:right="-211"/>
            </w:pPr>
          </w:p>
        </w:tc>
        <w:tc>
          <w:tcPr>
            <w:tcW w:w="1365" w:type="pct"/>
            <w:vMerge w:val="restart"/>
            <w:hideMark/>
          </w:tcPr>
          <w:p w14:paraId="0F155302" w14:textId="77777777" w:rsidR="00356075" w:rsidRDefault="00356075" w:rsidP="00356075">
            <w:pPr>
              <w:ind w:right="-211"/>
            </w:pPr>
            <w:r w:rsidRPr="00A13499">
              <w:rPr>
                <w:i/>
              </w:rPr>
              <w:t>Core</w:t>
            </w:r>
            <w:r>
              <w:t>-bijdrage</w:t>
            </w:r>
          </w:p>
          <w:p w14:paraId="73F38D86" w14:textId="4F523F73" w:rsidR="00356075" w:rsidRDefault="00356075" w:rsidP="00356075">
            <w:pPr>
              <w:ind w:right="-211"/>
            </w:pPr>
          </w:p>
        </w:tc>
        <w:tc>
          <w:tcPr>
            <w:tcW w:w="1683" w:type="pct"/>
            <w:hideMark/>
          </w:tcPr>
          <w:p w14:paraId="61894D5B" w14:textId="43C856DC" w:rsidR="00356075" w:rsidRPr="007D6815" w:rsidRDefault="00356075" w:rsidP="00356075">
            <w:pPr>
              <w:ind w:right="-211"/>
              <w:rPr>
                <w:b/>
              </w:rPr>
            </w:pPr>
            <w:r w:rsidRPr="00085B71">
              <w:t>1.</w:t>
            </w:r>
            <w:r w:rsidRPr="007D6815">
              <w:rPr>
                <w:b/>
              </w:rPr>
              <w:t xml:space="preserve"> </w:t>
            </w:r>
            <w:r>
              <w:t>Verenigde Staten</w:t>
            </w:r>
          </w:p>
        </w:tc>
        <w:tc>
          <w:tcPr>
            <w:tcW w:w="1485" w:type="pct"/>
          </w:tcPr>
          <w:p w14:paraId="6B6989AD" w14:textId="3207BC1E" w:rsidR="00356075" w:rsidRDefault="00356075" w:rsidP="00356075">
            <w:pPr>
              <w:tabs>
                <w:tab w:val="decimal" w:pos="1026"/>
              </w:tabs>
              <w:ind w:right="-550"/>
            </w:pPr>
            <w:r>
              <w:t>83</w:t>
            </w:r>
          </w:p>
        </w:tc>
      </w:tr>
      <w:tr w:rsidR="00356075" w14:paraId="5C104338" w14:textId="77777777" w:rsidTr="00356075">
        <w:tc>
          <w:tcPr>
            <w:tcW w:w="467" w:type="pct"/>
            <w:vMerge/>
          </w:tcPr>
          <w:p w14:paraId="34E41FBF" w14:textId="77777777" w:rsidR="00356075" w:rsidRDefault="00356075" w:rsidP="00356075">
            <w:pPr>
              <w:ind w:right="-211"/>
            </w:pPr>
          </w:p>
        </w:tc>
        <w:tc>
          <w:tcPr>
            <w:tcW w:w="1365" w:type="pct"/>
            <w:vMerge/>
          </w:tcPr>
          <w:p w14:paraId="2EA2AE5E" w14:textId="77777777" w:rsidR="00356075" w:rsidRDefault="00356075" w:rsidP="00356075">
            <w:pPr>
              <w:ind w:right="-211"/>
            </w:pPr>
          </w:p>
        </w:tc>
        <w:tc>
          <w:tcPr>
            <w:tcW w:w="1683" w:type="pct"/>
            <w:hideMark/>
          </w:tcPr>
          <w:p w14:paraId="320806AB" w14:textId="77777777" w:rsidR="00356075" w:rsidRDefault="00356075" w:rsidP="00356075">
            <w:pPr>
              <w:ind w:right="-211"/>
            </w:pPr>
            <w:r>
              <w:t>2. Zweden</w:t>
            </w:r>
          </w:p>
        </w:tc>
        <w:tc>
          <w:tcPr>
            <w:tcW w:w="1485" w:type="pct"/>
          </w:tcPr>
          <w:p w14:paraId="78F4A2A3" w14:textId="437E0A7B" w:rsidR="00356075" w:rsidRDefault="00356075" w:rsidP="00356075">
            <w:pPr>
              <w:tabs>
                <w:tab w:val="decimal" w:pos="1026"/>
              </w:tabs>
              <w:ind w:right="-211"/>
            </w:pPr>
            <w:r>
              <w:t>72</w:t>
            </w:r>
          </w:p>
        </w:tc>
      </w:tr>
      <w:tr w:rsidR="00356075" w14:paraId="4F69AF9A" w14:textId="77777777" w:rsidTr="00356075">
        <w:tc>
          <w:tcPr>
            <w:tcW w:w="467" w:type="pct"/>
            <w:vMerge/>
          </w:tcPr>
          <w:p w14:paraId="76EFACDB" w14:textId="77777777" w:rsidR="00356075" w:rsidRDefault="00356075" w:rsidP="00356075">
            <w:pPr>
              <w:ind w:right="-211"/>
            </w:pPr>
          </w:p>
        </w:tc>
        <w:tc>
          <w:tcPr>
            <w:tcW w:w="1365" w:type="pct"/>
            <w:vMerge/>
          </w:tcPr>
          <w:p w14:paraId="63C754E1" w14:textId="77777777" w:rsidR="00356075" w:rsidRDefault="00356075" w:rsidP="00356075">
            <w:pPr>
              <w:ind w:right="-211"/>
            </w:pPr>
          </w:p>
        </w:tc>
        <w:tc>
          <w:tcPr>
            <w:tcW w:w="1683" w:type="pct"/>
            <w:hideMark/>
          </w:tcPr>
          <w:p w14:paraId="7110175F" w14:textId="3C4AEE60" w:rsidR="00356075" w:rsidRDefault="00356075" w:rsidP="00356075">
            <w:pPr>
              <w:ind w:right="-211"/>
            </w:pPr>
            <w:r>
              <w:t>3. Verenigd Koninkrijk</w:t>
            </w:r>
          </w:p>
        </w:tc>
        <w:tc>
          <w:tcPr>
            <w:tcW w:w="1485" w:type="pct"/>
          </w:tcPr>
          <w:p w14:paraId="115D9D56" w14:textId="2999CC59" w:rsidR="00356075" w:rsidRDefault="00356075" w:rsidP="00356075">
            <w:pPr>
              <w:tabs>
                <w:tab w:val="decimal" w:pos="1026"/>
              </w:tabs>
              <w:ind w:right="-211"/>
            </w:pPr>
            <w:r>
              <w:t>69</w:t>
            </w:r>
          </w:p>
        </w:tc>
      </w:tr>
      <w:tr w:rsidR="00356075" w14:paraId="42FE0276" w14:textId="77777777" w:rsidTr="00356075">
        <w:tc>
          <w:tcPr>
            <w:tcW w:w="467" w:type="pct"/>
            <w:vMerge/>
          </w:tcPr>
          <w:p w14:paraId="1339DF54" w14:textId="77777777" w:rsidR="00356075" w:rsidRDefault="00356075" w:rsidP="00356075">
            <w:pPr>
              <w:ind w:right="-211"/>
            </w:pPr>
          </w:p>
        </w:tc>
        <w:tc>
          <w:tcPr>
            <w:tcW w:w="1365" w:type="pct"/>
            <w:vMerge/>
          </w:tcPr>
          <w:p w14:paraId="2E395516" w14:textId="62535DA0" w:rsidR="00356075" w:rsidRDefault="00356075" w:rsidP="00356075">
            <w:pPr>
              <w:ind w:right="-211"/>
            </w:pPr>
          </w:p>
        </w:tc>
        <w:tc>
          <w:tcPr>
            <w:tcW w:w="1683" w:type="pct"/>
          </w:tcPr>
          <w:p w14:paraId="6881EFFA" w14:textId="2E7E9DF3" w:rsidR="00356075" w:rsidRPr="00085B71" w:rsidRDefault="00356075" w:rsidP="00356075">
            <w:pPr>
              <w:pStyle w:val="ListParagraph"/>
              <w:numPr>
                <w:ilvl w:val="0"/>
                <w:numId w:val="40"/>
              </w:numPr>
              <w:ind w:right="-211"/>
              <w:rPr>
                <w:b/>
              </w:rPr>
            </w:pPr>
            <w:r w:rsidRPr="00085B71">
              <w:rPr>
                <w:b/>
              </w:rPr>
              <w:t>Nederland</w:t>
            </w:r>
          </w:p>
        </w:tc>
        <w:tc>
          <w:tcPr>
            <w:tcW w:w="1485" w:type="pct"/>
          </w:tcPr>
          <w:p w14:paraId="5BE0327E" w14:textId="75015220" w:rsidR="00356075" w:rsidRPr="00085B71" w:rsidRDefault="00356075" w:rsidP="00356075">
            <w:pPr>
              <w:tabs>
                <w:tab w:val="decimal" w:pos="1026"/>
              </w:tabs>
              <w:ind w:right="-211"/>
              <w:rPr>
                <w:b/>
              </w:rPr>
            </w:pPr>
            <w:r w:rsidRPr="00085B71">
              <w:rPr>
                <w:b/>
              </w:rPr>
              <w:t>32</w:t>
            </w:r>
          </w:p>
        </w:tc>
      </w:tr>
      <w:tr w:rsidR="00356075" w14:paraId="46B041F6" w14:textId="77777777" w:rsidTr="00356075">
        <w:tc>
          <w:tcPr>
            <w:tcW w:w="467" w:type="pct"/>
            <w:vMerge/>
          </w:tcPr>
          <w:p w14:paraId="24828C1A" w14:textId="77777777" w:rsidR="00356075" w:rsidRDefault="00356075" w:rsidP="00356075">
            <w:pPr>
              <w:ind w:right="-211"/>
            </w:pPr>
          </w:p>
        </w:tc>
        <w:tc>
          <w:tcPr>
            <w:tcW w:w="1365" w:type="pct"/>
            <w:vMerge w:val="restart"/>
            <w:hideMark/>
          </w:tcPr>
          <w:p w14:paraId="3F457D2A" w14:textId="77777777" w:rsidR="00356075" w:rsidRDefault="00356075" w:rsidP="00356075">
            <w:pPr>
              <w:ind w:right="-211"/>
            </w:pPr>
            <w:r w:rsidRPr="00A13499">
              <w:rPr>
                <w:i/>
              </w:rPr>
              <w:t>Non-core</w:t>
            </w:r>
            <w:r>
              <w:t>-bijdragen</w:t>
            </w:r>
          </w:p>
          <w:p w14:paraId="67DF852E" w14:textId="77777777" w:rsidR="00356075" w:rsidRDefault="00356075" w:rsidP="00356075">
            <w:pPr>
              <w:ind w:right="-211"/>
            </w:pPr>
          </w:p>
        </w:tc>
        <w:tc>
          <w:tcPr>
            <w:tcW w:w="1683" w:type="pct"/>
            <w:hideMark/>
          </w:tcPr>
          <w:p w14:paraId="05051626" w14:textId="626A72D1" w:rsidR="00356075" w:rsidRDefault="00356075" w:rsidP="00356075">
            <w:pPr>
              <w:ind w:right="-211"/>
            </w:pPr>
            <w:r>
              <w:t>1. Japan</w:t>
            </w:r>
          </w:p>
        </w:tc>
        <w:tc>
          <w:tcPr>
            <w:tcW w:w="1485" w:type="pct"/>
          </w:tcPr>
          <w:p w14:paraId="2F2F5A84" w14:textId="05C39029" w:rsidR="00356075" w:rsidRDefault="00356075" w:rsidP="00356075">
            <w:pPr>
              <w:tabs>
                <w:tab w:val="decimal" w:pos="1026"/>
              </w:tabs>
              <w:ind w:right="-211"/>
            </w:pPr>
            <w:r>
              <w:t>323</w:t>
            </w:r>
          </w:p>
        </w:tc>
      </w:tr>
      <w:tr w:rsidR="00356075" w14:paraId="6A53B20A" w14:textId="77777777" w:rsidTr="00356075">
        <w:tc>
          <w:tcPr>
            <w:tcW w:w="467" w:type="pct"/>
            <w:vMerge/>
          </w:tcPr>
          <w:p w14:paraId="72DF4332" w14:textId="77777777" w:rsidR="00356075" w:rsidRDefault="00356075" w:rsidP="00356075">
            <w:pPr>
              <w:ind w:right="-211"/>
            </w:pPr>
          </w:p>
        </w:tc>
        <w:tc>
          <w:tcPr>
            <w:tcW w:w="1365" w:type="pct"/>
            <w:vMerge/>
          </w:tcPr>
          <w:p w14:paraId="7A21C448" w14:textId="77777777" w:rsidR="00356075" w:rsidRDefault="00356075" w:rsidP="00356075">
            <w:pPr>
              <w:ind w:right="-211"/>
            </w:pPr>
          </w:p>
        </w:tc>
        <w:tc>
          <w:tcPr>
            <w:tcW w:w="1683" w:type="pct"/>
            <w:hideMark/>
          </w:tcPr>
          <w:p w14:paraId="7C73E661" w14:textId="1347A948" w:rsidR="00356075" w:rsidRDefault="00356075" w:rsidP="00356075">
            <w:pPr>
              <w:ind w:right="-211"/>
            </w:pPr>
            <w:r>
              <w:t xml:space="preserve">2. Duitsland </w:t>
            </w:r>
          </w:p>
        </w:tc>
        <w:tc>
          <w:tcPr>
            <w:tcW w:w="1485" w:type="pct"/>
          </w:tcPr>
          <w:p w14:paraId="055A0A8F" w14:textId="657948AE" w:rsidR="00356075" w:rsidRDefault="00356075" w:rsidP="00356075">
            <w:pPr>
              <w:tabs>
                <w:tab w:val="decimal" w:pos="1026"/>
              </w:tabs>
              <w:ind w:right="-211"/>
            </w:pPr>
            <w:r>
              <w:t>233</w:t>
            </w:r>
          </w:p>
        </w:tc>
      </w:tr>
      <w:tr w:rsidR="00356075" w14:paraId="34D54A9F" w14:textId="77777777" w:rsidTr="00356075">
        <w:tc>
          <w:tcPr>
            <w:tcW w:w="467" w:type="pct"/>
            <w:vMerge/>
          </w:tcPr>
          <w:p w14:paraId="27E21C46" w14:textId="77777777" w:rsidR="00356075" w:rsidRDefault="00356075" w:rsidP="00356075">
            <w:pPr>
              <w:ind w:right="-211"/>
            </w:pPr>
          </w:p>
        </w:tc>
        <w:tc>
          <w:tcPr>
            <w:tcW w:w="1365" w:type="pct"/>
            <w:vMerge/>
          </w:tcPr>
          <w:p w14:paraId="28637FD3" w14:textId="77777777" w:rsidR="00356075" w:rsidRDefault="00356075" w:rsidP="00356075">
            <w:pPr>
              <w:ind w:right="-211"/>
            </w:pPr>
          </w:p>
        </w:tc>
        <w:tc>
          <w:tcPr>
            <w:tcW w:w="1683" w:type="pct"/>
            <w:hideMark/>
          </w:tcPr>
          <w:p w14:paraId="0C2B85B1" w14:textId="1144396C" w:rsidR="00356075" w:rsidRDefault="00356075" w:rsidP="00356075">
            <w:pPr>
              <w:ind w:right="-211"/>
            </w:pPr>
            <w:r>
              <w:t>3. Verenigde Staten</w:t>
            </w:r>
          </w:p>
        </w:tc>
        <w:tc>
          <w:tcPr>
            <w:tcW w:w="1485" w:type="pct"/>
          </w:tcPr>
          <w:p w14:paraId="7CB48813" w14:textId="25F95259" w:rsidR="00356075" w:rsidRDefault="00356075" w:rsidP="00356075">
            <w:pPr>
              <w:tabs>
                <w:tab w:val="decimal" w:pos="1026"/>
              </w:tabs>
              <w:ind w:right="-211"/>
            </w:pPr>
            <w:r>
              <w:t>229</w:t>
            </w:r>
          </w:p>
        </w:tc>
      </w:tr>
      <w:tr w:rsidR="00356075" w14:paraId="527CC2A3" w14:textId="77777777" w:rsidTr="00356075">
        <w:tc>
          <w:tcPr>
            <w:tcW w:w="467" w:type="pct"/>
            <w:vMerge/>
          </w:tcPr>
          <w:p w14:paraId="759C8A34" w14:textId="77777777" w:rsidR="00356075" w:rsidRDefault="00356075" w:rsidP="00356075">
            <w:pPr>
              <w:ind w:right="-211"/>
            </w:pPr>
          </w:p>
        </w:tc>
        <w:tc>
          <w:tcPr>
            <w:tcW w:w="1365" w:type="pct"/>
            <w:vMerge/>
          </w:tcPr>
          <w:p w14:paraId="116EE1EF" w14:textId="77777777" w:rsidR="00356075" w:rsidRDefault="00356075" w:rsidP="00356075">
            <w:pPr>
              <w:ind w:right="-211"/>
            </w:pPr>
          </w:p>
        </w:tc>
        <w:tc>
          <w:tcPr>
            <w:tcW w:w="1683" w:type="pct"/>
          </w:tcPr>
          <w:p w14:paraId="65DE36CF" w14:textId="0C9F8FBD" w:rsidR="00356075" w:rsidRPr="008036D1" w:rsidRDefault="00356075" w:rsidP="00356075">
            <w:pPr>
              <w:ind w:right="-211"/>
              <w:rPr>
                <w:b/>
              </w:rPr>
            </w:pPr>
            <w:r>
              <w:rPr>
                <w:b/>
              </w:rPr>
              <w:t xml:space="preserve">7. </w:t>
            </w:r>
            <w:r w:rsidRPr="008036D1">
              <w:rPr>
                <w:b/>
              </w:rPr>
              <w:t>Nederland</w:t>
            </w:r>
          </w:p>
        </w:tc>
        <w:tc>
          <w:tcPr>
            <w:tcW w:w="1485" w:type="pct"/>
          </w:tcPr>
          <w:p w14:paraId="18E98AC1" w14:textId="12CA9822" w:rsidR="00356075" w:rsidRPr="008036D1" w:rsidRDefault="00356075" w:rsidP="00356075">
            <w:pPr>
              <w:tabs>
                <w:tab w:val="decimal" w:pos="1026"/>
              </w:tabs>
              <w:ind w:right="-211"/>
              <w:rPr>
                <w:b/>
              </w:rPr>
            </w:pPr>
            <w:r>
              <w:rPr>
                <w:b/>
              </w:rPr>
              <w:t>7</w:t>
            </w:r>
            <w:r w:rsidRPr="008036D1">
              <w:rPr>
                <w:b/>
              </w:rPr>
              <w:t>0</w:t>
            </w:r>
          </w:p>
        </w:tc>
      </w:tr>
      <w:tr w:rsidR="00356075" w14:paraId="3A3FBA7D" w14:textId="77777777" w:rsidTr="00356075">
        <w:tc>
          <w:tcPr>
            <w:tcW w:w="467" w:type="pct"/>
            <w:vMerge/>
          </w:tcPr>
          <w:p w14:paraId="1743CDB8" w14:textId="77777777" w:rsidR="00356075" w:rsidRDefault="00356075" w:rsidP="00356075">
            <w:pPr>
              <w:ind w:right="-211"/>
            </w:pPr>
          </w:p>
        </w:tc>
        <w:tc>
          <w:tcPr>
            <w:tcW w:w="1365" w:type="pct"/>
            <w:vMerge w:val="restart"/>
            <w:hideMark/>
          </w:tcPr>
          <w:p w14:paraId="1F37D1E7" w14:textId="77777777" w:rsidR="00356075" w:rsidRDefault="00356075" w:rsidP="00356075">
            <w:pPr>
              <w:ind w:right="-211"/>
            </w:pPr>
            <w:r>
              <w:t>Totaal bijdrage</w:t>
            </w:r>
          </w:p>
        </w:tc>
        <w:tc>
          <w:tcPr>
            <w:tcW w:w="1683" w:type="pct"/>
            <w:hideMark/>
          </w:tcPr>
          <w:p w14:paraId="3B7C5E64" w14:textId="4EB9D3B3" w:rsidR="00356075" w:rsidRDefault="00356075" w:rsidP="00356075">
            <w:pPr>
              <w:ind w:right="-211"/>
            </w:pPr>
            <w:r>
              <w:t>1. Japan</w:t>
            </w:r>
          </w:p>
        </w:tc>
        <w:tc>
          <w:tcPr>
            <w:tcW w:w="1485" w:type="pct"/>
          </w:tcPr>
          <w:p w14:paraId="2D3DE324" w14:textId="21FDAC40" w:rsidR="00356075" w:rsidRDefault="00356075" w:rsidP="00356075">
            <w:pPr>
              <w:tabs>
                <w:tab w:val="decimal" w:pos="1026"/>
              </w:tabs>
              <w:ind w:right="-211"/>
            </w:pPr>
            <w:r>
              <w:t>382</w:t>
            </w:r>
          </w:p>
        </w:tc>
      </w:tr>
      <w:tr w:rsidR="00356075" w14:paraId="2507E4DC" w14:textId="77777777" w:rsidTr="00356075">
        <w:tc>
          <w:tcPr>
            <w:tcW w:w="467" w:type="pct"/>
            <w:vMerge/>
          </w:tcPr>
          <w:p w14:paraId="39E22228" w14:textId="77777777" w:rsidR="00356075" w:rsidRDefault="00356075" w:rsidP="00356075">
            <w:pPr>
              <w:ind w:right="-211"/>
            </w:pPr>
          </w:p>
        </w:tc>
        <w:tc>
          <w:tcPr>
            <w:tcW w:w="1365" w:type="pct"/>
            <w:vMerge/>
          </w:tcPr>
          <w:p w14:paraId="33451CB8" w14:textId="77777777" w:rsidR="00356075" w:rsidRDefault="00356075" w:rsidP="00356075">
            <w:pPr>
              <w:ind w:right="-211"/>
            </w:pPr>
          </w:p>
        </w:tc>
        <w:tc>
          <w:tcPr>
            <w:tcW w:w="1683" w:type="pct"/>
            <w:hideMark/>
          </w:tcPr>
          <w:p w14:paraId="7D6B7D8E" w14:textId="43DE3830" w:rsidR="00356075" w:rsidRDefault="00356075" w:rsidP="00356075">
            <w:pPr>
              <w:ind w:right="-211"/>
            </w:pPr>
            <w:r>
              <w:t>2. Verenigde Staten</w:t>
            </w:r>
          </w:p>
        </w:tc>
        <w:tc>
          <w:tcPr>
            <w:tcW w:w="1485" w:type="pct"/>
          </w:tcPr>
          <w:p w14:paraId="1FBCB210" w14:textId="2A5E1BCB" w:rsidR="00356075" w:rsidRDefault="00356075" w:rsidP="00356075">
            <w:pPr>
              <w:tabs>
                <w:tab w:val="decimal" w:pos="1026"/>
              </w:tabs>
              <w:ind w:right="-211"/>
            </w:pPr>
            <w:r>
              <w:t>312</w:t>
            </w:r>
          </w:p>
        </w:tc>
      </w:tr>
      <w:tr w:rsidR="00356075" w14:paraId="12372E9A" w14:textId="77777777" w:rsidTr="00356075">
        <w:tc>
          <w:tcPr>
            <w:tcW w:w="467" w:type="pct"/>
            <w:vMerge/>
          </w:tcPr>
          <w:p w14:paraId="3AE3859E" w14:textId="77777777" w:rsidR="00356075" w:rsidRDefault="00356075" w:rsidP="00356075">
            <w:pPr>
              <w:ind w:right="-211"/>
            </w:pPr>
          </w:p>
        </w:tc>
        <w:tc>
          <w:tcPr>
            <w:tcW w:w="1365" w:type="pct"/>
            <w:vMerge/>
          </w:tcPr>
          <w:p w14:paraId="4589D2FE" w14:textId="77777777" w:rsidR="00356075" w:rsidRDefault="00356075" w:rsidP="00356075">
            <w:pPr>
              <w:ind w:right="-211"/>
            </w:pPr>
          </w:p>
        </w:tc>
        <w:tc>
          <w:tcPr>
            <w:tcW w:w="1683" w:type="pct"/>
            <w:hideMark/>
          </w:tcPr>
          <w:p w14:paraId="537036E2" w14:textId="45D0D380" w:rsidR="00356075" w:rsidRDefault="00356075" w:rsidP="00356075">
            <w:pPr>
              <w:ind w:right="-211"/>
            </w:pPr>
            <w:r>
              <w:t>3. Duitsland</w:t>
            </w:r>
          </w:p>
        </w:tc>
        <w:tc>
          <w:tcPr>
            <w:tcW w:w="1485" w:type="pct"/>
          </w:tcPr>
          <w:p w14:paraId="12F6696D" w14:textId="5D4E29BB" w:rsidR="00356075" w:rsidRDefault="00356075" w:rsidP="00356075">
            <w:pPr>
              <w:tabs>
                <w:tab w:val="decimal" w:pos="1026"/>
              </w:tabs>
              <w:ind w:right="-211"/>
            </w:pPr>
            <w:r>
              <w:t>260</w:t>
            </w:r>
          </w:p>
        </w:tc>
      </w:tr>
      <w:tr w:rsidR="00356075" w14:paraId="5EFD64F0" w14:textId="77777777" w:rsidTr="00356075">
        <w:tc>
          <w:tcPr>
            <w:tcW w:w="467" w:type="pct"/>
            <w:vMerge/>
          </w:tcPr>
          <w:p w14:paraId="6A037FAB" w14:textId="77777777" w:rsidR="00356075" w:rsidRDefault="00356075" w:rsidP="00356075">
            <w:pPr>
              <w:ind w:right="-211"/>
            </w:pPr>
          </w:p>
        </w:tc>
        <w:tc>
          <w:tcPr>
            <w:tcW w:w="1365" w:type="pct"/>
            <w:vMerge/>
          </w:tcPr>
          <w:p w14:paraId="2345A607" w14:textId="77777777" w:rsidR="00356075" w:rsidRDefault="00356075" w:rsidP="00356075">
            <w:pPr>
              <w:ind w:right="-211"/>
            </w:pPr>
          </w:p>
        </w:tc>
        <w:tc>
          <w:tcPr>
            <w:tcW w:w="1683" w:type="pct"/>
          </w:tcPr>
          <w:p w14:paraId="41FF2B64" w14:textId="20ED34E7" w:rsidR="00356075" w:rsidRPr="00BA6D22" w:rsidRDefault="00356075" w:rsidP="00356075">
            <w:pPr>
              <w:pStyle w:val="ListParagraph"/>
              <w:numPr>
                <w:ilvl w:val="0"/>
                <w:numId w:val="40"/>
              </w:numPr>
              <w:ind w:right="-211"/>
              <w:rPr>
                <w:b/>
              </w:rPr>
            </w:pPr>
            <w:r w:rsidRPr="00BA6D22">
              <w:rPr>
                <w:b/>
              </w:rPr>
              <w:t>Nederland</w:t>
            </w:r>
          </w:p>
        </w:tc>
        <w:tc>
          <w:tcPr>
            <w:tcW w:w="1485" w:type="pct"/>
          </w:tcPr>
          <w:p w14:paraId="753074CA" w14:textId="1E5216F8" w:rsidR="00356075" w:rsidRPr="00DB449E" w:rsidRDefault="00356075" w:rsidP="00356075">
            <w:pPr>
              <w:tabs>
                <w:tab w:val="decimal" w:pos="1026"/>
              </w:tabs>
              <w:ind w:right="-211"/>
              <w:rPr>
                <w:b/>
              </w:rPr>
            </w:pPr>
            <w:r w:rsidRPr="00DB449E">
              <w:rPr>
                <w:b/>
              </w:rPr>
              <w:t>102</w:t>
            </w:r>
          </w:p>
        </w:tc>
      </w:tr>
    </w:tbl>
    <w:p w14:paraId="3A163942" w14:textId="77777777" w:rsidR="00E524EF" w:rsidRPr="00B95FC2" w:rsidRDefault="00E524EF" w:rsidP="00E524EF"/>
    <w:p w14:paraId="5BE3BD87" w14:textId="075A196E" w:rsidR="00356075" w:rsidRPr="00356075" w:rsidRDefault="00096F6B" w:rsidP="00356075">
      <w:pPr>
        <w:pStyle w:val="Heading1"/>
        <w:tabs>
          <w:tab w:val="num" w:pos="0"/>
        </w:tabs>
        <w:spacing w:after="240" w:line="240" w:lineRule="auto"/>
        <w:ind w:hanging="1162"/>
      </w:pPr>
      <w:bookmarkStart w:id="24" w:name="_Toc491268963"/>
      <w:r>
        <w:lastRenderedPageBreak/>
        <w:t xml:space="preserve">4 </w:t>
      </w:r>
      <w:r>
        <w:tab/>
        <w:t>Institutionele aspecten en functioneren van de organisatie</w:t>
      </w:r>
      <w:bookmarkEnd w:id="24"/>
      <w:r w:rsidR="00356075">
        <w:br/>
      </w:r>
    </w:p>
    <w:p w14:paraId="1F845617" w14:textId="77777777" w:rsidR="00356075" w:rsidRPr="00356075" w:rsidRDefault="00356075" w:rsidP="00356075">
      <w:pPr>
        <w:pStyle w:val="ListParagraph"/>
        <w:keepNext/>
        <w:widowControl w:val="0"/>
        <w:numPr>
          <w:ilvl w:val="0"/>
          <w:numId w:val="20"/>
        </w:numPr>
        <w:tabs>
          <w:tab w:val="left" w:pos="-1162"/>
        </w:tabs>
        <w:spacing w:before="200" w:line="240" w:lineRule="auto"/>
        <w:outlineLvl w:val="1"/>
        <w:rPr>
          <w:rFonts w:cs="Arial"/>
          <w:b/>
          <w:iCs/>
          <w:vanish/>
          <w:kern w:val="32"/>
          <w:szCs w:val="28"/>
        </w:rPr>
      </w:pPr>
    </w:p>
    <w:p w14:paraId="72A2CBE7" w14:textId="77777777" w:rsidR="00356075" w:rsidRPr="00356075" w:rsidRDefault="00356075" w:rsidP="00356075">
      <w:pPr>
        <w:pStyle w:val="ListParagraph"/>
        <w:keepNext/>
        <w:widowControl w:val="0"/>
        <w:numPr>
          <w:ilvl w:val="0"/>
          <w:numId w:val="20"/>
        </w:numPr>
        <w:tabs>
          <w:tab w:val="left" w:pos="-1162"/>
        </w:tabs>
        <w:spacing w:before="200" w:line="240" w:lineRule="auto"/>
        <w:outlineLvl w:val="1"/>
        <w:rPr>
          <w:rFonts w:cs="Arial"/>
          <w:b/>
          <w:iCs/>
          <w:vanish/>
          <w:kern w:val="32"/>
          <w:szCs w:val="28"/>
        </w:rPr>
      </w:pPr>
    </w:p>
    <w:p w14:paraId="046E3A9B" w14:textId="27A4FF3A" w:rsidR="00096F6B" w:rsidRDefault="00356075" w:rsidP="00356075">
      <w:pPr>
        <w:pStyle w:val="Heading2"/>
        <w:numPr>
          <w:ilvl w:val="1"/>
          <w:numId w:val="20"/>
        </w:numPr>
        <w:tabs>
          <w:tab w:val="left" w:pos="-1162"/>
        </w:tabs>
        <w:spacing w:line="240" w:lineRule="auto"/>
      </w:pPr>
      <w:r>
        <w:t xml:space="preserve">             </w:t>
      </w:r>
      <w:bookmarkStart w:id="25" w:name="_Toc491268964"/>
      <w:r w:rsidR="00096F6B">
        <w:t>Strategie en verantwoording</w:t>
      </w:r>
      <w:bookmarkEnd w:id="25"/>
    </w:p>
    <w:p w14:paraId="13CAFA8B" w14:textId="48B01AF3" w:rsidR="00096F6B" w:rsidRDefault="00096F6B" w:rsidP="00096F6B">
      <w:r>
        <w:t xml:space="preserve">Eén van de uitdagingen die UNDP heeft binnen haar mandaat - het ondersteunen van landen bij het realiseren van ontwikkelingsdoelstellingen - is dat het een helder maar breed mandaat is. Hoewel UNDP goed binnen dit mandaat werkzaam blijft, is het een zeer breed werkterrein variërend van crisispreventie, wederopbouw, inclusieve en duurzame groei, rechtsstaatontwikkeling, aidsbestrijding, gendergelijkheid, milieu en klimaat. De </w:t>
      </w:r>
      <w:r w:rsidRPr="001D2C7B">
        <w:t>vraaggeri</w:t>
      </w:r>
      <w:r>
        <w:t xml:space="preserve">chte manier van werken en het grote aandeel </w:t>
      </w:r>
      <w:r w:rsidR="00C9064D">
        <w:rPr>
          <w:i/>
        </w:rPr>
        <w:t>non-core</w:t>
      </w:r>
      <w:r>
        <w:t xml:space="preserve"> donorbijdragen kunnen daardoor gemakkelijk leiden tot verbreding en versnippering waarbij</w:t>
      </w:r>
      <w:r w:rsidRPr="00F451F2">
        <w:rPr>
          <w:rFonts w:ascii="Times New Roman" w:hAnsi="Times New Roman"/>
          <w:sz w:val="16"/>
          <w:szCs w:val="16"/>
        </w:rPr>
        <w:t xml:space="preserve">. </w:t>
      </w:r>
      <w:r w:rsidRPr="002B58B5">
        <w:t xml:space="preserve">UNDP </w:t>
      </w:r>
      <w:r>
        <w:t>haar</w:t>
      </w:r>
      <w:r w:rsidRPr="002B58B5">
        <w:t xml:space="preserve"> financiële middelen te zeer over te kleine </w:t>
      </w:r>
      <w:r w:rsidR="00844CC1" w:rsidRPr="002B58B5">
        <w:t>pilotprojecten</w:t>
      </w:r>
      <w:r w:rsidRPr="002B58B5">
        <w:t xml:space="preserve"> </w:t>
      </w:r>
      <w:r>
        <w:t xml:space="preserve">spreidt. De projecten zijn kleinschalig en technisch en ze worden onvoldoende benut voor beleidsadvisering richting (nationale) overheden. In het huidige Strategische Plan (2014–2017) is, onder druk van donoren, meer focus aangebracht en is het aantal resultaatgebieden teruggebracht van 25 naar 7. Er zijn op dit moment nog geen duidelijke indicaties of dit daadwerkelijk tot minder versnippering heeft geleidt. Voor elk van de resultaatgebieden is een </w:t>
      </w:r>
      <w:r w:rsidRPr="00C25268">
        <w:rPr>
          <w:i/>
        </w:rPr>
        <w:t>Theory of Change</w:t>
      </w:r>
      <w:r>
        <w:rPr>
          <w:i/>
        </w:rPr>
        <w:t xml:space="preserve"> (ToC)</w:t>
      </w:r>
      <w:r>
        <w:t xml:space="preserve"> ontwikkeld, met een probleemschets, geleerde lessen en daaruit resulterende prioriteiten. De aannames zijn over het algemeen helder geformuleerd en de ToC’s beschrijven eveneens de belangrijkste risico's. Ze blijven echter vrij algemeen omdat ze dienen als kaders voor activiteiten in zeer diverse categorieën landen. Op landen en programma/projectniveau worden deze verder en specifieker uitgewerkt.</w:t>
      </w:r>
    </w:p>
    <w:p w14:paraId="6CFA5CBE" w14:textId="77777777" w:rsidR="00096F6B" w:rsidRDefault="00096F6B" w:rsidP="00096F6B"/>
    <w:p w14:paraId="5BC4D258" w14:textId="77777777" w:rsidR="00096F6B" w:rsidRDefault="00096F6B" w:rsidP="00096F6B">
      <w:r>
        <w:t>De afgelopen jaren heeft een grote reorganisatie plaatsgevonden waarbij een overheveling van advies- en ondersteuningsfuncties van New York naar regionale kantoren heeft plaatsgevonden. Deze verschuiving heeft tot doel om landenkantoren beter te ondersteunen. Tevens hebben de</w:t>
      </w:r>
      <w:r w:rsidRPr="00D73376">
        <w:t xml:space="preserve"> landenkantoren scherpere kaders meege</w:t>
      </w:r>
      <w:r>
        <w:t>kregen waarbinnen de uitvoering van het Strategisch Plan moet plaatsvinden. Door het terugbrengen van het aantal resultaatsgebieden in het SP, zien we nu ook dat binnen de landenprogramma’s het gemiddeld aantal resultaatgebieden is gedaald naar 4,5. De richtlijn voor landenkantoren is om maximaal in te zetten op vier resultaatgebieden, dus er is zeker voortgang. Tevens kan worden geconcludeerd dat er nog maar een minimaal aantal activiteiten plaatsvindt, die geheel buiten de gedefinieerde resultaatsgebieden vallen.</w:t>
      </w:r>
    </w:p>
    <w:p w14:paraId="28C65469" w14:textId="77777777" w:rsidR="00096F6B" w:rsidRDefault="00096F6B" w:rsidP="00096F6B"/>
    <w:p w14:paraId="5BA0FCD6" w14:textId="16BDBCE7" w:rsidR="00096F6B" w:rsidRDefault="00096F6B" w:rsidP="00096F6B">
      <w:r>
        <w:t>De Nederlandse ambassades zijn van mening dat UNDP's programma's over het algemeen goed aansluiten bij nationale prioriteiten en plannen en dat UNDP’s haar rol als coördinator van de VN ontwikkelingsorganisaties op landenniveau naar behoren invult/uitvoert. In New York verlopen de Uitvoerende Raadsvergaderingen soms wat stroperig. Hoewel slechts 36 Raadsleden formeel zitting hebben, kunnen alle overige lidstaten ook inbreng hebben. Er zijn regelmatig politieke compromissen nodig om een brug te slaan tussen ontwikkelde en ontwikkelingslanden. Dit komt de strategische slagkracht van UNDP niet ten goede.</w:t>
      </w:r>
    </w:p>
    <w:p w14:paraId="08049C0D" w14:textId="733E2109" w:rsidR="00356075" w:rsidRDefault="00356075" w:rsidP="00096F6B"/>
    <w:p w14:paraId="31865580" w14:textId="31DDD445" w:rsidR="00356075" w:rsidRDefault="00356075" w:rsidP="00096F6B"/>
    <w:p w14:paraId="262530DC" w14:textId="130232C9" w:rsidR="00356075" w:rsidRDefault="00356075" w:rsidP="00096F6B"/>
    <w:p w14:paraId="56630EB4" w14:textId="43E00170" w:rsidR="00356075" w:rsidRDefault="00356075" w:rsidP="00096F6B"/>
    <w:p w14:paraId="03A401A1" w14:textId="2532AE1A" w:rsidR="00356075" w:rsidRDefault="00356075" w:rsidP="00096F6B"/>
    <w:p w14:paraId="244DDC56" w14:textId="78836408" w:rsidR="00356075" w:rsidRDefault="00356075" w:rsidP="00096F6B"/>
    <w:p w14:paraId="63A1927F" w14:textId="714EDD7E" w:rsidR="00356075" w:rsidRDefault="00356075" w:rsidP="00096F6B"/>
    <w:p w14:paraId="79941757" w14:textId="77777777" w:rsidR="00356075" w:rsidRPr="00CB616E" w:rsidRDefault="00356075" w:rsidP="00096F6B"/>
    <w:p w14:paraId="4A107C87" w14:textId="77777777" w:rsidR="00096F6B" w:rsidRDefault="00096F6B" w:rsidP="00096F6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0"/>
        <w:gridCol w:w="949"/>
      </w:tblGrid>
      <w:tr w:rsidR="00096F6B" w14:paraId="0B67A6F9" w14:textId="77777777" w:rsidTr="00C9064D">
        <w:tc>
          <w:tcPr>
            <w:tcW w:w="6804" w:type="dxa"/>
            <w:tcBorders>
              <w:top w:val="single" w:sz="12" w:space="0" w:color="auto"/>
              <w:left w:val="single" w:sz="12" w:space="0" w:color="auto"/>
              <w:bottom w:val="single" w:sz="12" w:space="0" w:color="auto"/>
            </w:tcBorders>
            <w:shd w:val="clear" w:color="auto" w:fill="D9D9D9"/>
          </w:tcPr>
          <w:p w14:paraId="75861843" w14:textId="77777777" w:rsidR="00096F6B" w:rsidRPr="00EA0AA8" w:rsidRDefault="00096F6B" w:rsidP="00C9064D">
            <w:pPr>
              <w:rPr>
                <w:b/>
              </w:rPr>
            </w:pPr>
            <w:r w:rsidRPr="00EA0AA8">
              <w:rPr>
                <w:b/>
              </w:rPr>
              <w:lastRenderedPageBreak/>
              <w:t>Onderdeel</w:t>
            </w:r>
          </w:p>
        </w:tc>
        <w:tc>
          <w:tcPr>
            <w:tcW w:w="955" w:type="dxa"/>
            <w:tcBorders>
              <w:top w:val="single" w:sz="12" w:space="0" w:color="auto"/>
              <w:bottom w:val="single" w:sz="12" w:space="0" w:color="auto"/>
              <w:right w:val="single" w:sz="12" w:space="0" w:color="auto"/>
            </w:tcBorders>
            <w:shd w:val="clear" w:color="auto" w:fill="D9D9D9"/>
          </w:tcPr>
          <w:p w14:paraId="345DBEA6" w14:textId="77777777" w:rsidR="00096F6B" w:rsidRPr="00EA0AA8" w:rsidRDefault="00096F6B" w:rsidP="00C9064D">
            <w:pPr>
              <w:rPr>
                <w:b/>
              </w:rPr>
            </w:pPr>
            <w:r w:rsidRPr="00EA0AA8">
              <w:rPr>
                <w:b/>
              </w:rPr>
              <w:t>Score</w:t>
            </w:r>
          </w:p>
        </w:tc>
      </w:tr>
      <w:tr w:rsidR="00096F6B" w14:paraId="63A6A031" w14:textId="77777777" w:rsidTr="00C9064D">
        <w:tc>
          <w:tcPr>
            <w:tcW w:w="6804" w:type="dxa"/>
            <w:tcBorders>
              <w:top w:val="single" w:sz="12" w:space="0" w:color="auto"/>
              <w:left w:val="single" w:sz="12" w:space="0" w:color="auto"/>
            </w:tcBorders>
            <w:shd w:val="clear" w:color="auto" w:fill="auto"/>
          </w:tcPr>
          <w:p w14:paraId="227D4892" w14:textId="77777777" w:rsidR="00096F6B" w:rsidRDefault="00096F6B" w:rsidP="00C9064D">
            <w:r>
              <w:t>Kernmandaat / Prioriteiten / Mission Creep</w:t>
            </w:r>
          </w:p>
        </w:tc>
        <w:tc>
          <w:tcPr>
            <w:tcW w:w="955" w:type="dxa"/>
            <w:tcBorders>
              <w:top w:val="single" w:sz="12" w:space="0" w:color="auto"/>
              <w:right w:val="single" w:sz="12" w:space="0" w:color="auto"/>
            </w:tcBorders>
            <w:shd w:val="clear" w:color="auto" w:fill="auto"/>
          </w:tcPr>
          <w:p w14:paraId="3B55BFAA" w14:textId="77777777" w:rsidR="00096F6B" w:rsidRDefault="00096F6B" w:rsidP="00C9064D">
            <w:pPr>
              <w:jc w:val="center"/>
            </w:pPr>
            <w:r>
              <w:t>3</w:t>
            </w:r>
          </w:p>
        </w:tc>
      </w:tr>
      <w:tr w:rsidR="00096F6B" w14:paraId="590FA7F6" w14:textId="77777777" w:rsidTr="00C9064D">
        <w:tc>
          <w:tcPr>
            <w:tcW w:w="6804" w:type="dxa"/>
            <w:tcBorders>
              <w:left w:val="single" w:sz="12" w:space="0" w:color="auto"/>
            </w:tcBorders>
            <w:shd w:val="clear" w:color="auto" w:fill="auto"/>
          </w:tcPr>
          <w:p w14:paraId="0A5C63ED" w14:textId="77777777" w:rsidR="00096F6B" w:rsidRDefault="00096F6B" w:rsidP="00C9064D">
            <w:r>
              <w:t>Beleidsstrategie</w:t>
            </w:r>
          </w:p>
        </w:tc>
        <w:tc>
          <w:tcPr>
            <w:tcW w:w="955" w:type="dxa"/>
            <w:tcBorders>
              <w:right w:val="single" w:sz="12" w:space="0" w:color="auto"/>
            </w:tcBorders>
            <w:shd w:val="clear" w:color="auto" w:fill="auto"/>
          </w:tcPr>
          <w:p w14:paraId="157232B3" w14:textId="77777777" w:rsidR="00096F6B" w:rsidRDefault="00096F6B" w:rsidP="00C9064D">
            <w:pPr>
              <w:jc w:val="center"/>
            </w:pPr>
            <w:r>
              <w:t>3</w:t>
            </w:r>
          </w:p>
        </w:tc>
      </w:tr>
      <w:tr w:rsidR="00096F6B" w14:paraId="63B7BF01" w14:textId="77777777" w:rsidTr="00C9064D">
        <w:tc>
          <w:tcPr>
            <w:tcW w:w="6804" w:type="dxa"/>
            <w:tcBorders>
              <w:left w:val="single" w:sz="12" w:space="0" w:color="auto"/>
              <w:bottom w:val="single" w:sz="4" w:space="0" w:color="auto"/>
            </w:tcBorders>
            <w:shd w:val="clear" w:color="auto" w:fill="auto"/>
          </w:tcPr>
          <w:p w14:paraId="48AB6547" w14:textId="77777777" w:rsidR="00096F6B" w:rsidRPr="00485E80" w:rsidRDefault="00096F6B" w:rsidP="00C9064D">
            <w:r w:rsidRPr="00485E80">
              <w:t>Theory of Change</w:t>
            </w:r>
          </w:p>
        </w:tc>
        <w:tc>
          <w:tcPr>
            <w:tcW w:w="955" w:type="dxa"/>
            <w:tcBorders>
              <w:right w:val="single" w:sz="12" w:space="0" w:color="auto"/>
            </w:tcBorders>
            <w:shd w:val="clear" w:color="auto" w:fill="auto"/>
          </w:tcPr>
          <w:p w14:paraId="7259379F" w14:textId="77777777" w:rsidR="00096F6B" w:rsidRDefault="00096F6B" w:rsidP="00C9064D">
            <w:pPr>
              <w:jc w:val="center"/>
            </w:pPr>
            <w:r>
              <w:t>3</w:t>
            </w:r>
          </w:p>
        </w:tc>
      </w:tr>
      <w:tr w:rsidR="00096F6B" w14:paraId="2A185705" w14:textId="77777777" w:rsidTr="00C9064D">
        <w:tc>
          <w:tcPr>
            <w:tcW w:w="6804" w:type="dxa"/>
            <w:tcBorders>
              <w:top w:val="single" w:sz="4" w:space="0" w:color="auto"/>
              <w:left w:val="single" w:sz="12" w:space="0" w:color="auto"/>
              <w:bottom w:val="single" w:sz="4" w:space="0" w:color="auto"/>
            </w:tcBorders>
            <w:shd w:val="clear" w:color="auto" w:fill="auto"/>
          </w:tcPr>
          <w:p w14:paraId="1B27671A" w14:textId="77777777" w:rsidR="00096F6B" w:rsidRDefault="00096F6B" w:rsidP="00C9064D">
            <w:r>
              <w:t>Aansluiting Nationaal beleid / Armoedestrategie</w:t>
            </w:r>
          </w:p>
        </w:tc>
        <w:tc>
          <w:tcPr>
            <w:tcW w:w="955" w:type="dxa"/>
            <w:tcBorders>
              <w:bottom w:val="single" w:sz="4" w:space="0" w:color="auto"/>
              <w:right w:val="single" w:sz="12" w:space="0" w:color="auto"/>
            </w:tcBorders>
            <w:shd w:val="clear" w:color="auto" w:fill="auto"/>
          </w:tcPr>
          <w:p w14:paraId="51AB0CD6" w14:textId="77777777" w:rsidR="00096F6B" w:rsidRDefault="00096F6B" w:rsidP="00C9064D">
            <w:pPr>
              <w:jc w:val="center"/>
            </w:pPr>
            <w:r>
              <w:t>3</w:t>
            </w:r>
          </w:p>
        </w:tc>
      </w:tr>
      <w:tr w:rsidR="00096F6B" w14:paraId="43CA9348" w14:textId="77777777" w:rsidTr="00C9064D">
        <w:tc>
          <w:tcPr>
            <w:tcW w:w="6804" w:type="dxa"/>
            <w:tcBorders>
              <w:top w:val="single" w:sz="4" w:space="0" w:color="auto"/>
              <w:left w:val="single" w:sz="12" w:space="0" w:color="auto"/>
              <w:bottom w:val="single" w:sz="4" w:space="0" w:color="auto"/>
            </w:tcBorders>
            <w:shd w:val="clear" w:color="auto" w:fill="auto"/>
          </w:tcPr>
          <w:p w14:paraId="02CF162A" w14:textId="77777777" w:rsidR="00096F6B" w:rsidRDefault="00096F6B" w:rsidP="00C9064D">
            <w:r>
              <w:t xml:space="preserve">Verantwoording </w:t>
            </w:r>
          </w:p>
        </w:tc>
        <w:tc>
          <w:tcPr>
            <w:tcW w:w="955" w:type="dxa"/>
            <w:tcBorders>
              <w:bottom w:val="single" w:sz="4" w:space="0" w:color="auto"/>
              <w:right w:val="single" w:sz="12" w:space="0" w:color="auto"/>
            </w:tcBorders>
            <w:shd w:val="clear" w:color="auto" w:fill="auto"/>
          </w:tcPr>
          <w:p w14:paraId="5D91F756" w14:textId="77777777" w:rsidR="00096F6B" w:rsidRDefault="00096F6B" w:rsidP="00C9064D">
            <w:pPr>
              <w:jc w:val="center"/>
            </w:pPr>
            <w:r>
              <w:t>3</w:t>
            </w:r>
          </w:p>
        </w:tc>
      </w:tr>
      <w:tr w:rsidR="00096F6B" w14:paraId="37E7B20D" w14:textId="77777777" w:rsidTr="00C9064D">
        <w:tc>
          <w:tcPr>
            <w:tcW w:w="6804" w:type="dxa"/>
            <w:tcBorders>
              <w:top w:val="single" w:sz="4" w:space="0" w:color="auto"/>
              <w:left w:val="single" w:sz="12" w:space="0" w:color="auto"/>
              <w:bottom w:val="single" w:sz="12" w:space="0" w:color="auto"/>
            </w:tcBorders>
            <w:shd w:val="clear" w:color="auto" w:fill="auto"/>
          </w:tcPr>
          <w:p w14:paraId="4D81175C" w14:textId="77777777" w:rsidR="00096F6B" w:rsidRDefault="00096F6B" w:rsidP="00C9064D">
            <w:r>
              <w:t>Aanspreekbaarheid voor overige belanghebbenden</w:t>
            </w:r>
          </w:p>
        </w:tc>
        <w:tc>
          <w:tcPr>
            <w:tcW w:w="955" w:type="dxa"/>
            <w:tcBorders>
              <w:bottom w:val="single" w:sz="12" w:space="0" w:color="auto"/>
              <w:right w:val="single" w:sz="12" w:space="0" w:color="auto"/>
            </w:tcBorders>
            <w:shd w:val="clear" w:color="auto" w:fill="auto"/>
          </w:tcPr>
          <w:p w14:paraId="6C69F4F8" w14:textId="77777777" w:rsidR="00096F6B" w:rsidRDefault="00096F6B" w:rsidP="00C9064D">
            <w:pPr>
              <w:jc w:val="center"/>
            </w:pPr>
            <w:r>
              <w:t>3</w:t>
            </w:r>
          </w:p>
        </w:tc>
      </w:tr>
      <w:tr w:rsidR="00096F6B" w14:paraId="20AE5A6D" w14:textId="77777777" w:rsidTr="00C9064D">
        <w:tc>
          <w:tcPr>
            <w:tcW w:w="6804" w:type="dxa"/>
            <w:tcBorders>
              <w:top w:val="single" w:sz="12" w:space="0" w:color="auto"/>
              <w:left w:val="single" w:sz="12" w:space="0" w:color="auto"/>
              <w:bottom w:val="single" w:sz="12" w:space="0" w:color="auto"/>
            </w:tcBorders>
            <w:shd w:val="clear" w:color="auto" w:fill="D0CECE"/>
          </w:tcPr>
          <w:p w14:paraId="4EA65C30" w14:textId="77777777" w:rsidR="00096F6B" w:rsidRPr="00EA0AA8" w:rsidRDefault="00096F6B" w:rsidP="00C9064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5F2B7181" w14:textId="77777777" w:rsidR="00096F6B" w:rsidRPr="00EA0AA8" w:rsidRDefault="00096F6B" w:rsidP="00C9064D">
            <w:pPr>
              <w:jc w:val="center"/>
              <w:rPr>
                <w:b/>
              </w:rPr>
            </w:pPr>
            <w:r>
              <w:rPr>
                <w:b/>
              </w:rPr>
              <w:t>3</w:t>
            </w:r>
          </w:p>
        </w:tc>
      </w:tr>
    </w:tbl>
    <w:p w14:paraId="65CA2A74" w14:textId="77777777" w:rsidR="00102B2B" w:rsidRDefault="00102B2B" w:rsidP="00096F6B"/>
    <w:p w14:paraId="5BCFC50A" w14:textId="3D89AD4D" w:rsidR="00096F6B" w:rsidRDefault="00096F6B" w:rsidP="00102B2B">
      <w:pPr>
        <w:ind w:firstLine="227"/>
      </w:pPr>
      <w:r w:rsidRPr="00193994">
        <w:t>Verandering</w:t>
      </w:r>
      <w:r>
        <w:t xml:space="preserve"> sinds 2015: neutraal</w:t>
      </w:r>
      <w:r w:rsidRPr="00193994">
        <w:t xml:space="preserve"> = </w:t>
      </w:r>
      <w:r w:rsidRPr="00193994">
        <w:sym w:font="Wingdings" w:char="F0E8"/>
      </w:r>
    </w:p>
    <w:p w14:paraId="4CC6E860" w14:textId="77777777" w:rsidR="00096F6B" w:rsidRDefault="00096F6B" w:rsidP="00096F6B"/>
    <w:p w14:paraId="05CD7941" w14:textId="77777777" w:rsidR="00096F6B" w:rsidRPr="007230FA" w:rsidRDefault="00096F6B" w:rsidP="00096F6B">
      <w:pPr>
        <w:pStyle w:val="Heading2"/>
        <w:numPr>
          <w:ilvl w:val="1"/>
          <w:numId w:val="20"/>
        </w:numPr>
        <w:tabs>
          <w:tab w:val="left" w:pos="-1162"/>
          <w:tab w:val="left" w:pos="0"/>
        </w:tabs>
        <w:spacing w:line="240" w:lineRule="auto"/>
        <w:ind w:left="0" w:hanging="851"/>
        <w:rPr>
          <w:lang w:val="en-US"/>
        </w:rPr>
      </w:pPr>
      <w:bookmarkStart w:id="26" w:name="_Toc491268965"/>
      <w:r>
        <w:rPr>
          <w:lang w:val="en-US"/>
        </w:rPr>
        <w:t>Resultaatgerichtheid en transparantie</w:t>
      </w:r>
      <w:bookmarkEnd w:id="26"/>
    </w:p>
    <w:p w14:paraId="36B165F1" w14:textId="4705BF10" w:rsidR="00096F6B" w:rsidRDefault="00096F6B" w:rsidP="00096F6B">
      <w:r>
        <w:t xml:space="preserve">Met het huidige Strategische Plan en het bijbehorende resultatenraamwerk heeft UNDP een flinke stap voorwaarts gemaakt in de richting van resultaatsgerichtheid. Voorheen was het resultatenraamwerk relatief zwak en lag de focus op output in plaats van op resultaten. Deze inspanning worden door verschillende donoren erkend. Het huidige raamwerk spoort ook landenkantoren aan om hun inzet aan te scherpen en meer te focussen. Ter ondersteuning zijn onder andere handleidingen, een online cursus over de te gebruiken indicatoren en workshops voor monitoring- en evaluatieadviseurs georganiseerd. Tot slot is ook extra mankracht ingezet om landenkantoren te versterken op het gebied van resultaatgericht management (RBM). In de komende periode zal duidelijk worden of deze inzet zich ook daadwerkelijk heeft vertaald in een verbeterde resultaatsgerichtheid. De stap naar volledig </w:t>
      </w:r>
      <w:r w:rsidRPr="006D5D64">
        <w:rPr>
          <w:i/>
        </w:rPr>
        <w:t>Result Based Budgeting</w:t>
      </w:r>
      <w:r>
        <w:t xml:space="preserve"> heeft UNDP nog niet gemaakt. Binnen de zeven strategische doelen is geen duidelijkheid over de budgettoekenning in het Strategisch Plan.</w:t>
      </w:r>
      <w:r w:rsidR="00844CC1">
        <w:t xml:space="preserve"> </w:t>
      </w:r>
      <w:r>
        <w:t xml:space="preserve">Er is wel een verdeelsleutel voor verdeling van </w:t>
      </w:r>
      <w:r w:rsidRPr="00844CC1">
        <w:rPr>
          <w:i/>
        </w:rPr>
        <w:t>core</w:t>
      </w:r>
      <w:r>
        <w:t xml:space="preserve"> programmafondsen over landenkantoren. </w:t>
      </w:r>
    </w:p>
    <w:p w14:paraId="4EA09249" w14:textId="77777777" w:rsidR="00096F6B" w:rsidRDefault="00096F6B" w:rsidP="00096F6B"/>
    <w:p w14:paraId="0118DC28" w14:textId="77777777" w:rsidR="00096F6B" w:rsidRDefault="00096F6B" w:rsidP="00096F6B">
      <w:r>
        <w:t>UNDP heeft zich direct vanaf de oprichting (2008) aangesloten bij het IATI (</w:t>
      </w:r>
      <w:r w:rsidRPr="00E62286">
        <w:rPr>
          <w:i/>
        </w:rPr>
        <w:t>International Aid Transparency Initiative</w:t>
      </w:r>
      <w:r>
        <w:t xml:space="preserve">). UNDP is hierbinnen een drijvende kracht en heeft sinds 2013, samen met een aantal andere partners de Secretariaatsfunctie van IATI op zich genomen. In deze rol is het zeer actief en dit heeft ertoe geleid dat veel nieuwe (VN) organisaties en lidstaten zich hebben aangesloten. De organisatie is zelf ook stapsgewijs steeds meer gegevens gaan publiceren. Dit werd in 2014 erkend en zorgde ervoor dat UNDP bovenaan de internationale </w:t>
      </w:r>
      <w:r w:rsidRPr="00587647">
        <w:rPr>
          <w:i/>
        </w:rPr>
        <w:t>Aid Transparency</w:t>
      </w:r>
      <w:r>
        <w:t xml:space="preserve"> lijst kwam te staan en dat is sindsdien zo gebleven. UNDP publiceert gegevens over projecten en begrotingen, met project documenten tot op sub-nationaal niveau. </w:t>
      </w:r>
    </w:p>
    <w:p w14:paraId="31C291A5" w14:textId="77777777" w:rsidR="00096F6B" w:rsidRDefault="00096F6B" w:rsidP="00096F6B"/>
    <w:p w14:paraId="105A39BE" w14:textId="0FFF284B" w:rsidR="00096F6B" w:rsidRDefault="00096F6B" w:rsidP="00096F6B">
      <w:r>
        <w:t xml:space="preserve">Waar UNDP minder in slaagt is om al deze (project)resultaten te aggregeren naar een niveau waarbij UNDP’s eigen bijdrage aan algehele ontwikkeling eenduidig is vast te stellen. In 2014 heeft UNDP de </w:t>
      </w:r>
      <w:r w:rsidRPr="0052059A">
        <w:rPr>
          <w:i/>
        </w:rPr>
        <w:t>Result Card</w:t>
      </w:r>
      <w:r>
        <w:t xml:space="preserve"> geïntroduceerd, die de belangrijkste ontwikkelingsresultaten in een overzichtelijk schema samenvat. De verwachting is dat de resultatenrapportage, op basis van het verbeterde resultatenraamwerk en het gebruik van eenduidige indicatoren in de gehele organisatie, verder verbetert.</w:t>
      </w:r>
    </w:p>
    <w:p w14:paraId="4AB982FD" w14:textId="6B7D7225" w:rsidR="00356075" w:rsidRDefault="00356075" w:rsidP="00096F6B"/>
    <w:p w14:paraId="4690F3C5" w14:textId="0F438280" w:rsidR="00356075" w:rsidRDefault="00356075" w:rsidP="00096F6B"/>
    <w:p w14:paraId="2BF2209F" w14:textId="2A330DBF" w:rsidR="00356075" w:rsidRDefault="00356075" w:rsidP="00096F6B"/>
    <w:p w14:paraId="03A3123C" w14:textId="3EAA5CE5" w:rsidR="00356075" w:rsidRDefault="00356075" w:rsidP="00096F6B"/>
    <w:p w14:paraId="28BA9888" w14:textId="414F23D4" w:rsidR="00356075" w:rsidRDefault="00356075" w:rsidP="00096F6B"/>
    <w:p w14:paraId="141E5C3A" w14:textId="47E7B4D3" w:rsidR="00356075" w:rsidRDefault="00356075" w:rsidP="00096F6B"/>
    <w:p w14:paraId="1F10CE1C" w14:textId="77777777" w:rsidR="00356075" w:rsidRPr="00A6126A" w:rsidRDefault="00356075" w:rsidP="00096F6B"/>
    <w:p w14:paraId="7065E1FC" w14:textId="77777777" w:rsidR="00096F6B" w:rsidRDefault="00096F6B" w:rsidP="00096F6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9"/>
        <w:gridCol w:w="950"/>
      </w:tblGrid>
      <w:tr w:rsidR="00096F6B" w:rsidRPr="00EA0AA8" w14:paraId="524AFC39" w14:textId="77777777" w:rsidTr="00C9064D">
        <w:tc>
          <w:tcPr>
            <w:tcW w:w="6804" w:type="dxa"/>
            <w:tcBorders>
              <w:top w:val="single" w:sz="12" w:space="0" w:color="auto"/>
              <w:left w:val="single" w:sz="12" w:space="0" w:color="auto"/>
              <w:bottom w:val="single" w:sz="12" w:space="0" w:color="auto"/>
            </w:tcBorders>
            <w:shd w:val="clear" w:color="auto" w:fill="D0CECE"/>
          </w:tcPr>
          <w:p w14:paraId="0F9B6C56" w14:textId="77777777" w:rsidR="00096F6B" w:rsidRPr="00EA0AA8" w:rsidRDefault="00096F6B" w:rsidP="00C9064D">
            <w:pPr>
              <w:rPr>
                <w:b/>
              </w:rPr>
            </w:pPr>
            <w:r w:rsidRPr="00EA0AA8">
              <w:rPr>
                <w:b/>
              </w:rPr>
              <w:lastRenderedPageBreak/>
              <w:t>Onderdeel</w:t>
            </w:r>
          </w:p>
        </w:tc>
        <w:tc>
          <w:tcPr>
            <w:tcW w:w="955" w:type="dxa"/>
            <w:tcBorders>
              <w:top w:val="single" w:sz="12" w:space="0" w:color="auto"/>
              <w:bottom w:val="single" w:sz="12" w:space="0" w:color="auto"/>
              <w:right w:val="single" w:sz="12" w:space="0" w:color="auto"/>
            </w:tcBorders>
            <w:shd w:val="clear" w:color="auto" w:fill="D0CECE"/>
          </w:tcPr>
          <w:p w14:paraId="5897CAC6" w14:textId="77777777" w:rsidR="00096F6B" w:rsidRPr="00EA0AA8" w:rsidRDefault="00096F6B" w:rsidP="00C9064D">
            <w:pPr>
              <w:rPr>
                <w:b/>
              </w:rPr>
            </w:pPr>
            <w:r w:rsidRPr="00EA0AA8">
              <w:rPr>
                <w:b/>
              </w:rPr>
              <w:t>Score</w:t>
            </w:r>
          </w:p>
        </w:tc>
      </w:tr>
      <w:tr w:rsidR="00096F6B" w14:paraId="3E7631CE" w14:textId="77777777" w:rsidTr="00C9064D">
        <w:tc>
          <w:tcPr>
            <w:tcW w:w="6804" w:type="dxa"/>
            <w:tcBorders>
              <w:top w:val="single" w:sz="12" w:space="0" w:color="auto"/>
              <w:left w:val="single" w:sz="12" w:space="0" w:color="auto"/>
            </w:tcBorders>
            <w:shd w:val="clear" w:color="auto" w:fill="auto"/>
          </w:tcPr>
          <w:p w14:paraId="21BAFEEF" w14:textId="77777777" w:rsidR="00096F6B" w:rsidRDefault="00096F6B" w:rsidP="00C9064D">
            <w:r>
              <w:t>RBM en RBB</w:t>
            </w:r>
          </w:p>
        </w:tc>
        <w:tc>
          <w:tcPr>
            <w:tcW w:w="955" w:type="dxa"/>
            <w:tcBorders>
              <w:top w:val="single" w:sz="12" w:space="0" w:color="auto"/>
              <w:right w:val="single" w:sz="12" w:space="0" w:color="auto"/>
            </w:tcBorders>
            <w:shd w:val="clear" w:color="auto" w:fill="auto"/>
          </w:tcPr>
          <w:p w14:paraId="1DD2E3B4" w14:textId="77777777" w:rsidR="00096F6B" w:rsidRDefault="00096F6B" w:rsidP="00C9064D">
            <w:pPr>
              <w:jc w:val="center"/>
            </w:pPr>
            <w:r>
              <w:t>3</w:t>
            </w:r>
          </w:p>
        </w:tc>
      </w:tr>
      <w:tr w:rsidR="00096F6B" w14:paraId="37EDA4A7" w14:textId="77777777" w:rsidTr="00C9064D">
        <w:tc>
          <w:tcPr>
            <w:tcW w:w="6804" w:type="dxa"/>
            <w:tcBorders>
              <w:left w:val="single" w:sz="12" w:space="0" w:color="auto"/>
            </w:tcBorders>
            <w:shd w:val="clear" w:color="auto" w:fill="auto"/>
          </w:tcPr>
          <w:p w14:paraId="57617544" w14:textId="77777777" w:rsidR="00096F6B" w:rsidRDefault="00096F6B" w:rsidP="00C9064D">
            <w:r>
              <w:t>Inzichtelijk maken resultaten</w:t>
            </w:r>
          </w:p>
        </w:tc>
        <w:tc>
          <w:tcPr>
            <w:tcW w:w="955" w:type="dxa"/>
            <w:tcBorders>
              <w:right w:val="single" w:sz="12" w:space="0" w:color="auto"/>
            </w:tcBorders>
            <w:shd w:val="clear" w:color="auto" w:fill="auto"/>
          </w:tcPr>
          <w:p w14:paraId="50DC8BD7" w14:textId="77777777" w:rsidR="00096F6B" w:rsidRDefault="00096F6B" w:rsidP="00C9064D">
            <w:pPr>
              <w:jc w:val="center"/>
            </w:pPr>
            <w:r>
              <w:t>3</w:t>
            </w:r>
          </w:p>
        </w:tc>
      </w:tr>
      <w:tr w:rsidR="00096F6B" w14:paraId="39EA85A8" w14:textId="77777777" w:rsidTr="00C9064D">
        <w:tc>
          <w:tcPr>
            <w:tcW w:w="6804" w:type="dxa"/>
            <w:tcBorders>
              <w:left w:val="single" w:sz="12" w:space="0" w:color="auto"/>
            </w:tcBorders>
            <w:shd w:val="clear" w:color="auto" w:fill="auto"/>
          </w:tcPr>
          <w:p w14:paraId="32D26393" w14:textId="77777777" w:rsidR="00096F6B" w:rsidRDefault="00096F6B" w:rsidP="00C9064D">
            <w:r>
              <w:t>Inzichtelijk maken allocatie van middelen (o.a. IATI)</w:t>
            </w:r>
          </w:p>
        </w:tc>
        <w:tc>
          <w:tcPr>
            <w:tcW w:w="955" w:type="dxa"/>
            <w:tcBorders>
              <w:right w:val="single" w:sz="12" w:space="0" w:color="auto"/>
            </w:tcBorders>
            <w:shd w:val="clear" w:color="auto" w:fill="auto"/>
          </w:tcPr>
          <w:p w14:paraId="4C42CE20" w14:textId="77777777" w:rsidR="00096F6B" w:rsidRDefault="00096F6B" w:rsidP="00C9064D">
            <w:pPr>
              <w:jc w:val="center"/>
            </w:pPr>
            <w:r>
              <w:t>4</w:t>
            </w:r>
          </w:p>
        </w:tc>
      </w:tr>
      <w:tr w:rsidR="00096F6B" w14:paraId="3FD63893" w14:textId="77777777" w:rsidTr="00C9064D">
        <w:tc>
          <w:tcPr>
            <w:tcW w:w="6804" w:type="dxa"/>
            <w:tcBorders>
              <w:left w:val="single" w:sz="12" w:space="0" w:color="auto"/>
              <w:bottom w:val="single" w:sz="12" w:space="0" w:color="auto"/>
            </w:tcBorders>
            <w:shd w:val="clear" w:color="auto" w:fill="auto"/>
          </w:tcPr>
          <w:p w14:paraId="75164450" w14:textId="77777777" w:rsidR="00096F6B" w:rsidRDefault="00096F6B" w:rsidP="00C9064D">
            <w:r>
              <w:t>Communicatie over resultaten</w:t>
            </w:r>
          </w:p>
        </w:tc>
        <w:tc>
          <w:tcPr>
            <w:tcW w:w="955" w:type="dxa"/>
            <w:tcBorders>
              <w:bottom w:val="single" w:sz="12" w:space="0" w:color="auto"/>
              <w:right w:val="single" w:sz="12" w:space="0" w:color="auto"/>
            </w:tcBorders>
            <w:shd w:val="clear" w:color="auto" w:fill="auto"/>
          </w:tcPr>
          <w:p w14:paraId="7247996F" w14:textId="77777777" w:rsidR="00096F6B" w:rsidRDefault="00096F6B" w:rsidP="00C9064D">
            <w:pPr>
              <w:jc w:val="center"/>
            </w:pPr>
            <w:r>
              <w:t>3</w:t>
            </w:r>
          </w:p>
        </w:tc>
      </w:tr>
      <w:tr w:rsidR="00096F6B" w:rsidRPr="00EA0AA8" w14:paraId="257595F8" w14:textId="77777777" w:rsidTr="00C9064D">
        <w:tc>
          <w:tcPr>
            <w:tcW w:w="6804" w:type="dxa"/>
            <w:tcBorders>
              <w:top w:val="single" w:sz="12" w:space="0" w:color="auto"/>
              <w:left w:val="single" w:sz="12" w:space="0" w:color="auto"/>
              <w:bottom w:val="single" w:sz="12" w:space="0" w:color="auto"/>
            </w:tcBorders>
            <w:shd w:val="clear" w:color="auto" w:fill="D0CECE"/>
          </w:tcPr>
          <w:p w14:paraId="184545FB" w14:textId="77777777" w:rsidR="00096F6B" w:rsidRPr="00EA0AA8" w:rsidRDefault="00096F6B" w:rsidP="00C9064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349A7B36" w14:textId="77777777" w:rsidR="00096F6B" w:rsidRPr="00EA0AA8" w:rsidRDefault="00096F6B" w:rsidP="00C9064D">
            <w:pPr>
              <w:jc w:val="center"/>
              <w:rPr>
                <w:b/>
              </w:rPr>
            </w:pPr>
            <w:r>
              <w:rPr>
                <w:b/>
              </w:rPr>
              <w:t>3</w:t>
            </w:r>
          </w:p>
        </w:tc>
      </w:tr>
    </w:tbl>
    <w:p w14:paraId="126124FC" w14:textId="77777777" w:rsidR="00102B2B" w:rsidRDefault="00102B2B" w:rsidP="00096F6B"/>
    <w:p w14:paraId="2B070C48" w14:textId="20A2FA32" w:rsidR="00096F6B" w:rsidRDefault="00096F6B" w:rsidP="00102B2B">
      <w:pPr>
        <w:ind w:firstLine="227"/>
      </w:pPr>
      <w:r w:rsidRPr="00193994">
        <w:t>Verandering</w:t>
      </w:r>
      <w:r>
        <w:t xml:space="preserve"> sinds 2015: neutraal</w:t>
      </w:r>
      <w:r w:rsidRPr="00193994">
        <w:t xml:space="preserve"> = </w:t>
      </w:r>
      <w:r w:rsidRPr="00193994">
        <w:sym w:font="Wingdings" w:char="F0E8"/>
      </w:r>
    </w:p>
    <w:p w14:paraId="27651566" w14:textId="77777777" w:rsidR="00102B2B" w:rsidRPr="00186ADD" w:rsidRDefault="00102B2B" w:rsidP="00102B2B">
      <w:pPr>
        <w:ind w:firstLine="227"/>
      </w:pPr>
    </w:p>
    <w:p w14:paraId="486F010B" w14:textId="77777777" w:rsidR="00096F6B" w:rsidRPr="00F366F4" w:rsidRDefault="00096F6B" w:rsidP="00096F6B">
      <w:pPr>
        <w:pStyle w:val="Heading2"/>
        <w:numPr>
          <w:ilvl w:val="1"/>
          <w:numId w:val="20"/>
        </w:numPr>
        <w:tabs>
          <w:tab w:val="left" w:pos="-1162"/>
          <w:tab w:val="left" w:pos="0"/>
        </w:tabs>
        <w:spacing w:line="240" w:lineRule="auto"/>
        <w:ind w:left="0" w:hanging="1134"/>
        <w:rPr>
          <w:lang w:val="en-US"/>
        </w:rPr>
      </w:pPr>
      <w:bookmarkStart w:id="27" w:name="_Toc491268966"/>
      <w:r w:rsidRPr="00A13499">
        <w:t>Partnerschappen</w:t>
      </w:r>
      <w:r>
        <w:t xml:space="preserve"> en samenwerking</w:t>
      </w:r>
      <w:bookmarkEnd w:id="27"/>
    </w:p>
    <w:p w14:paraId="6587E97F" w14:textId="77777777" w:rsidR="00096F6B" w:rsidRDefault="00096F6B" w:rsidP="00096F6B">
      <w:r>
        <w:t xml:space="preserve">UNDP heeft als systeemorganisatie en als voorzitter van de VN-ontwikkelingsgroep (UNDG) veel contact en intensieve samenwerking met andere VN organisaties. </w:t>
      </w:r>
    </w:p>
    <w:p w14:paraId="2A15998F" w14:textId="58276597" w:rsidR="00096F6B" w:rsidRDefault="00096F6B" w:rsidP="00096F6B">
      <w:r>
        <w:t xml:space="preserve">Tevens </w:t>
      </w:r>
      <w:r w:rsidRPr="003A202C">
        <w:t>voert UNDP samen met de OESO het secretariaat van het Global Partnership voor effectiviteit van Ontwikkelingssamenwerking</w:t>
      </w:r>
      <w:r>
        <w:t xml:space="preserve"> (GPEDC)</w:t>
      </w:r>
      <w:r w:rsidRPr="003A202C">
        <w:t xml:space="preserve">, huisvest UNDP </w:t>
      </w:r>
      <w:r>
        <w:t xml:space="preserve">het VN-kantoor voor Zuid-Zuid samenwerking (UNOSS) en </w:t>
      </w:r>
      <w:r w:rsidRPr="003A202C">
        <w:t>de</w:t>
      </w:r>
      <w:r w:rsidRPr="003A202C">
        <w:rPr>
          <w:szCs w:val="18"/>
        </w:rPr>
        <w:t xml:space="preserve"> mondiale </w:t>
      </w:r>
      <w:r w:rsidRPr="003A202C">
        <w:rPr>
          <w:i/>
        </w:rPr>
        <w:t>Business Call to Action (</w:t>
      </w:r>
      <w:r w:rsidRPr="003A202C">
        <w:t xml:space="preserve">voor </w:t>
      </w:r>
      <w:r>
        <w:t>ontwikkelingsrelevant</w:t>
      </w:r>
      <w:r w:rsidRPr="003A202C">
        <w:t xml:space="preserve"> ondernemen, </w:t>
      </w:r>
      <w:r>
        <w:t xml:space="preserve">waarbij ruim </w:t>
      </w:r>
      <w:r w:rsidRPr="003A202C">
        <w:t>10</w:t>
      </w:r>
      <w:r>
        <w:t>0</w:t>
      </w:r>
      <w:r w:rsidRPr="003A202C">
        <w:t xml:space="preserve"> </w:t>
      </w:r>
      <w:r>
        <w:t>bedrijven zijn aangesloten) e</w:t>
      </w:r>
      <w:r w:rsidRPr="003A202C">
        <w:t xml:space="preserve">n </w:t>
      </w:r>
      <w:r>
        <w:t xml:space="preserve">is UNDP lid van </w:t>
      </w:r>
      <w:r w:rsidRPr="003A202C">
        <w:t xml:space="preserve">het </w:t>
      </w:r>
      <w:r>
        <w:rPr>
          <w:i/>
        </w:rPr>
        <w:t xml:space="preserve">UN </w:t>
      </w:r>
      <w:r w:rsidRPr="003A202C">
        <w:rPr>
          <w:i/>
        </w:rPr>
        <w:t>Global Compact (</w:t>
      </w:r>
      <w:r w:rsidRPr="003A202C">
        <w:t xml:space="preserve">samenwerking van </w:t>
      </w:r>
      <w:r>
        <w:t xml:space="preserve">VN en bedrijfsleven voor </w:t>
      </w:r>
      <w:r w:rsidRPr="003A202C">
        <w:t>bevordering van mensenrechten).</w:t>
      </w:r>
      <w:r>
        <w:t xml:space="preserve"> Een sterke competentie van UNDP is het vermogen om synergie te creëren tussen verschillende partijen, zoals overheid en maatschappelijk middenveld. De mate van succes in deze competentie is in grote mate een uiting van het resultaat van UNDP als systeemorganisatie. In het huidige Strategische Plan is ruime aandacht voor verdere harmonisatie van bedrijfsprocessen binnen de VN en versterking van VN coördinatie. Over de resultaten hiervan zijn de ervaringen verdeeld. Er zijn indicaties dat op landenniveau hier soms meer vooruitgang wordt geboekt dan op mondiaal niveau.</w:t>
      </w:r>
      <w:r w:rsidR="00C8154D">
        <w:t xml:space="preserve"> Tegelijk bestaat er op landenniveau een vertrouwensprobleem omtrent de mate van belangenverstrengeling die de combinatie van </w:t>
      </w:r>
      <w:r w:rsidR="00C8154D" w:rsidRPr="00844CC1">
        <w:rPr>
          <w:i/>
        </w:rPr>
        <w:t>resident representative</w:t>
      </w:r>
      <w:r w:rsidR="00C8154D">
        <w:t xml:space="preserve">, namens het gehele VN-systeem, en UNDP </w:t>
      </w:r>
      <w:r w:rsidR="00C8154D" w:rsidRPr="00844CC1">
        <w:rPr>
          <w:i/>
        </w:rPr>
        <w:t>resident coordinator</w:t>
      </w:r>
      <w:r w:rsidR="00C8154D">
        <w:t xml:space="preserve"> met zich meebrengt. In zijn recente hervormingsvoorstellen heeft de SGVN aangekondigd deze twee functies te willen scheiden.</w:t>
      </w:r>
    </w:p>
    <w:p w14:paraId="19B0D66C" w14:textId="77777777" w:rsidR="00096F6B" w:rsidRDefault="00096F6B" w:rsidP="00096F6B">
      <w:pPr>
        <w:ind w:left="-454"/>
      </w:pPr>
    </w:p>
    <w:p w14:paraId="301EAE0C" w14:textId="0FE2F032" w:rsidR="00096F6B" w:rsidRDefault="00096F6B" w:rsidP="00096F6B">
      <w:r>
        <w:t xml:space="preserve">Het beleidsdocument dat UNDP’s inzet richting partnerschappen met de private sector beschrijft dateert uit 2012. UNDP positioneert zichzelf als een centrale speler in de internationale samenwerking en profileert zich als een neutrale, langdurige, deskundige en breed georiënteerde ontwikkelingspartner met een belangrijke en brede coördinatierol. UNDP wil daarbij samenwerken met alle spelers, inclusief overheden, bedrijven, financiële instellingen, maatschappelijk middenveld en charitatieve stichtingen. In de recente jaarverslagen van UNDP is, naast de vermelding van nieuwe partnerschappen, weinig concreets te vinden. Aan de hand van het relatief oude beleidsdocument is het dus moeilijk te bepalen of met deze partnerschappen ook concrete resultaten worden behaald. Daar waar UNDP, als centrale speler, een absolute voorbeeldrol zou moeten spelen op het gebied van partnerschappen binnen de VN, </w:t>
      </w:r>
      <w:r w:rsidR="00B2070E">
        <w:t xml:space="preserve">ontbeert een heldere visie waardoor de potentie van UNDP op dit terrein onderbenut blijft. </w:t>
      </w:r>
    </w:p>
    <w:p w14:paraId="10255654" w14:textId="0E213396" w:rsidR="00356075" w:rsidRDefault="00356075" w:rsidP="00096F6B"/>
    <w:p w14:paraId="2AC4A948" w14:textId="1EEA518F" w:rsidR="00356075" w:rsidRDefault="00356075" w:rsidP="00096F6B"/>
    <w:p w14:paraId="1E479F70" w14:textId="4BDF0381" w:rsidR="00356075" w:rsidRDefault="00356075" w:rsidP="00096F6B"/>
    <w:p w14:paraId="45963BD0" w14:textId="2C4911FD" w:rsidR="00356075" w:rsidRDefault="00356075" w:rsidP="00096F6B"/>
    <w:p w14:paraId="0A43E91C" w14:textId="4818B303" w:rsidR="00356075" w:rsidRDefault="00356075" w:rsidP="00096F6B"/>
    <w:p w14:paraId="76984C5C" w14:textId="15487A22" w:rsidR="00356075" w:rsidRDefault="00356075" w:rsidP="00096F6B"/>
    <w:p w14:paraId="188236B5" w14:textId="23B60932" w:rsidR="00356075" w:rsidRDefault="00356075" w:rsidP="00096F6B"/>
    <w:p w14:paraId="198B8FD2" w14:textId="77777777" w:rsidR="00356075" w:rsidRDefault="00356075" w:rsidP="00096F6B"/>
    <w:p w14:paraId="2407E0C5" w14:textId="77777777" w:rsidR="00096F6B" w:rsidRDefault="00096F6B" w:rsidP="00096F6B">
      <w:pPr>
        <w:rPr>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9"/>
        <w:gridCol w:w="1010"/>
      </w:tblGrid>
      <w:tr w:rsidR="00096F6B" w:rsidRPr="00EA0AA8" w14:paraId="59947CF7" w14:textId="77777777" w:rsidTr="00C9064D">
        <w:tc>
          <w:tcPr>
            <w:tcW w:w="6579" w:type="dxa"/>
            <w:tcBorders>
              <w:top w:val="single" w:sz="12" w:space="0" w:color="auto"/>
              <w:left w:val="single" w:sz="12" w:space="0" w:color="auto"/>
              <w:bottom w:val="single" w:sz="12" w:space="0" w:color="auto"/>
            </w:tcBorders>
            <w:shd w:val="clear" w:color="auto" w:fill="D0CECE"/>
          </w:tcPr>
          <w:p w14:paraId="5D46BA4F" w14:textId="77777777" w:rsidR="00096F6B" w:rsidRPr="00EA0AA8" w:rsidRDefault="00096F6B" w:rsidP="00C9064D">
            <w:pPr>
              <w:rPr>
                <w:b/>
              </w:rPr>
            </w:pPr>
            <w:r w:rsidRPr="00EA0AA8">
              <w:rPr>
                <w:b/>
              </w:rPr>
              <w:lastRenderedPageBreak/>
              <w:t>Onderdeel</w:t>
            </w:r>
          </w:p>
        </w:tc>
        <w:tc>
          <w:tcPr>
            <w:tcW w:w="1010" w:type="dxa"/>
            <w:tcBorders>
              <w:top w:val="single" w:sz="12" w:space="0" w:color="auto"/>
              <w:bottom w:val="single" w:sz="12" w:space="0" w:color="auto"/>
              <w:right w:val="single" w:sz="12" w:space="0" w:color="auto"/>
            </w:tcBorders>
            <w:shd w:val="clear" w:color="auto" w:fill="D0CECE"/>
          </w:tcPr>
          <w:p w14:paraId="7D66533E" w14:textId="77777777" w:rsidR="00096F6B" w:rsidRPr="00EA0AA8" w:rsidRDefault="00096F6B" w:rsidP="00C9064D">
            <w:pPr>
              <w:rPr>
                <w:b/>
              </w:rPr>
            </w:pPr>
            <w:r w:rsidRPr="00EA0AA8">
              <w:rPr>
                <w:b/>
              </w:rPr>
              <w:t>Score</w:t>
            </w:r>
          </w:p>
        </w:tc>
      </w:tr>
      <w:tr w:rsidR="00096F6B" w14:paraId="60382C89" w14:textId="77777777" w:rsidTr="00C9064D">
        <w:tc>
          <w:tcPr>
            <w:tcW w:w="6579" w:type="dxa"/>
            <w:tcBorders>
              <w:top w:val="single" w:sz="12" w:space="0" w:color="auto"/>
              <w:left w:val="single" w:sz="12" w:space="0" w:color="auto"/>
            </w:tcBorders>
            <w:shd w:val="clear" w:color="auto" w:fill="auto"/>
          </w:tcPr>
          <w:p w14:paraId="308AEAEB" w14:textId="77777777" w:rsidR="00096F6B" w:rsidRDefault="00096F6B" w:rsidP="00C9064D">
            <w:r>
              <w:t>Partnerschappen met andere organisaties</w:t>
            </w:r>
          </w:p>
        </w:tc>
        <w:tc>
          <w:tcPr>
            <w:tcW w:w="1010" w:type="dxa"/>
            <w:tcBorders>
              <w:top w:val="single" w:sz="12" w:space="0" w:color="auto"/>
              <w:right w:val="single" w:sz="12" w:space="0" w:color="auto"/>
            </w:tcBorders>
            <w:shd w:val="clear" w:color="auto" w:fill="auto"/>
          </w:tcPr>
          <w:p w14:paraId="5C631562" w14:textId="77777777" w:rsidR="00096F6B" w:rsidRDefault="00096F6B" w:rsidP="00C9064D">
            <w:pPr>
              <w:jc w:val="center"/>
            </w:pPr>
            <w:r>
              <w:t>3</w:t>
            </w:r>
          </w:p>
        </w:tc>
      </w:tr>
      <w:tr w:rsidR="00096F6B" w14:paraId="3BEA1D7C" w14:textId="77777777" w:rsidTr="00C9064D">
        <w:tc>
          <w:tcPr>
            <w:tcW w:w="6579" w:type="dxa"/>
            <w:tcBorders>
              <w:left w:val="single" w:sz="12" w:space="0" w:color="auto"/>
            </w:tcBorders>
            <w:shd w:val="clear" w:color="auto" w:fill="auto"/>
          </w:tcPr>
          <w:p w14:paraId="66117F19" w14:textId="77777777" w:rsidR="00096F6B" w:rsidRDefault="00096F6B" w:rsidP="00C9064D">
            <w:r>
              <w:t>Visie en rol partnerschappen</w:t>
            </w:r>
          </w:p>
        </w:tc>
        <w:tc>
          <w:tcPr>
            <w:tcW w:w="1010" w:type="dxa"/>
            <w:tcBorders>
              <w:right w:val="single" w:sz="12" w:space="0" w:color="auto"/>
            </w:tcBorders>
            <w:shd w:val="clear" w:color="auto" w:fill="auto"/>
          </w:tcPr>
          <w:p w14:paraId="4845E189" w14:textId="77777777" w:rsidR="00096F6B" w:rsidRDefault="00096F6B" w:rsidP="00C9064D">
            <w:pPr>
              <w:jc w:val="center"/>
            </w:pPr>
            <w:r>
              <w:t>2</w:t>
            </w:r>
          </w:p>
        </w:tc>
      </w:tr>
      <w:tr w:rsidR="00096F6B" w14:paraId="42C5019B" w14:textId="77777777" w:rsidTr="00C9064D">
        <w:tc>
          <w:tcPr>
            <w:tcW w:w="6579" w:type="dxa"/>
            <w:tcBorders>
              <w:left w:val="single" w:sz="12" w:space="0" w:color="auto"/>
            </w:tcBorders>
            <w:shd w:val="clear" w:color="auto" w:fill="auto"/>
          </w:tcPr>
          <w:p w14:paraId="1F79FA49" w14:textId="77777777" w:rsidR="00096F6B" w:rsidRDefault="00096F6B" w:rsidP="00C9064D">
            <w:r>
              <w:t>Aansluiting partnerschappen met andere actoren</w:t>
            </w:r>
          </w:p>
        </w:tc>
        <w:tc>
          <w:tcPr>
            <w:tcW w:w="1010" w:type="dxa"/>
            <w:tcBorders>
              <w:right w:val="single" w:sz="12" w:space="0" w:color="auto"/>
            </w:tcBorders>
            <w:shd w:val="clear" w:color="auto" w:fill="auto"/>
          </w:tcPr>
          <w:p w14:paraId="25838D00" w14:textId="70E4F929" w:rsidR="00096F6B" w:rsidRDefault="00096F6B" w:rsidP="00C9064D">
            <w:pPr>
              <w:jc w:val="center"/>
            </w:pPr>
            <w:r>
              <w:t>2</w:t>
            </w:r>
          </w:p>
        </w:tc>
      </w:tr>
      <w:tr w:rsidR="00096F6B" w14:paraId="3F63832A" w14:textId="77777777" w:rsidTr="00C9064D">
        <w:tc>
          <w:tcPr>
            <w:tcW w:w="6579" w:type="dxa"/>
            <w:tcBorders>
              <w:left w:val="single" w:sz="12" w:space="0" w:color="auto"/>
            </w:tcBorders>
            <w:shd w:val="clear" w:color="auto" w:fill="auto"/>
          </w:tcPr>
          <w:p w14:paraId="1ADB7186" w14:textId="77777777" w:rsidR="00096F6B" w:rsidRDefault="00096F6B" w:rsidP="00C9064D">
            <w:r>
              <w:t>Samenwerking en coördinatie overige actoren</w:t>
            </w:r>
          </w:p>
        </w:tc>
        <w:tc>
          <w:tcPr>
            <w:tcW w:w="1010" w:type="dxa"/>
            <w:tcBorders>
              <w:right w:val="single" w:sz="12" w:space="0" w:color="auto"/>
            </w:tcBorders>
            <w:shd w:val="clear" w:color="auto" w:fill="auto"/>
          </w:tcPr>
          <w:p w14:paraId="6F9EEFD4" w14:textId="77777777" w:rsidR="00096F6B" w:rsidRDefault="00096F6B" w:rsidP="00C9064D">
            <w:pPr>
              <w:jc w:val="center"/>
            </w:pPr>
            <w:r>
              <w:t>3</w:t>
            </w:r>
          </w:p>
        </w:tc>
      </w:tr>
      <w:tr w:rsidR="00096F6B" w:rsidRPr="00EA0AA8" w14:paraId="35FBBF80" w14:textId="77777777" w:rsidTr="00C9064D">
        <w:tc>
          <w:tcPr>
            <w:tcW w:w="6579" w:type="dxa"/>
            <w:tcBorders>
              <w:top w:val="single" w:sz="12" w:space="0" w:color="auto"/>
              <w:left w:val="single" w:sz="12" w:space="0" w:color="auto"/>
              <w:bottom w:val="single" w:sz="12" w:space="0" w:color="auto"/>
            </w:tcBorders>
            <w:shd w:val="clear" w:color="auto" w:fill="D0CECE"/>
          </w:tcPr>
          <w:p w14:paraId="67ABB281" w14:textId="77777777" w:rsidR="00096F6B" w:rsidRPr="00EA0AA8" w:rsidRDefault="00096F6B" w:rsidP="00C9064D">
            <w:pPr>
              <w:rPr>
                <w:b/>
              </w:rPr>
            </w:pPr>
            <w:r w:rsidRPr="00F313B0">
              <w:rPr>
                <w:b/>
              </w:rPr>
              <w:t>TOTAAL</w:t>
            </w:r>
          </w:p>
        </w:tc>
        <w:tc>
          <w:tcPr>
            <w:tcW w:w="1010" w:type="dxa"/>
            <w:tcBorders>
              <w:top w:val="single" w:sz="12" w:space="0" w:color="auto"/>
              <w:bottom w:val="single" w:sz="12" w:space="0" w:color="auto"/>
              <w:right w:val="single" w:sz="12" w:space="0" w:color="auto"/>
            </w:tcBorders>
            <w:shd w:val="clear" w:color="auto" w:fill="D0CECE"/>
          </w:tcPr>
          <w:p w14:paraId="40EBED4F" w14:textId="2682A1B2" w:rsidR="00096F6B" w:rsidRPr="00EA0AA8" w:rsidRDefault="00844CC1" w:rsidP="00C9064D">
            <w:pPr>
              <w:jc w:val="center"/>
              <w:rPr>
                <w:b/>
              </w:rPr>
            </w:pPr>
            <w:r>
              <w:rPr>
                <w:b/>
              </w:rPr>
              <w:t>2</w:t>
            </w:r>
          </w:p>
        </w:tc>
      </w:tr>
    </w:tbl>
    <w:p w14:paraId="78C42FEA" w14:textId="77777777" w:rsidR="00102B2B" w:rsidRDefault="00102B2B" w:rsidP="00096F6B"/>
    <w:p w14:paraId="15EE5623" w14:textId="24A82846" w:rsidR="00096F6B" w:rsidRDefault="00096F6B" w:rsidP="00102B2B">
      <w:pPr>
        <w:ind w:firstLine="227"/>
        <w:rPr>
          <w:rFonts w:ascii="Segoe UI Emoji" w:eastAsia="Segoe UI Emoji" w:hAnsi="Segoe UI Emoji" w:cs="Segoe UI Emoji"/>
          <w:b/>
          <w:noProof/>
        </w:rPr>
      </w:pPr>
      <w:r w:rsidRPr="00193994">
        <w:t>Verandering</w:t>
      </w:r>
      <w:r>
        <w:t xml:space="preserve"> sinds 2015: negatief = </w:t>
      </w:r>
      <w:r w:rsidRPr="00AE668D">
        <w:rPr>
          <w:rFonts w:ascii="Segoe UI Emoji" w:eastAsia="Segoe UI Emoji" w:hAnsi="Segoe UI Emoji" w:cs="Segoe UI Emoji"/>
          <w:b/>
          <w:noProof/>
        </w:rPr>
        <w:sym w:font="Wingdings" w:char="F0EA"/>
      </w:r>
    </w:p>
    <w:p w14:paraId="621DDB5F" w14:textId="77777777" w:rsidR="00102B2B" w:rsidRDefault="00102B2B" w:rsidP="00102B2B">
      <w:pPr>
        <w:ind w:firstLine="227"/>
      </w:pPr>
    </w:p>
    <w:p w14:paraId="736B3EE0" w14:textId="5F2E43FA" w:rsidR="00096F6B" w:rsidRPr="004D372F" w:rsidRDefault="00CC19D4" w:rsidP="00096F6B">
      <w:pPr>
        <w:pStyle w:val="Heading2"/>
        <w:tabs>
          <w:tab w:val="left" w:pos="-1162"/>
          <w:tab w:val="left" w:pos="0"/>
          <w:tab w:val="num" w:pos="1160"/>
        </w:tabs>
        <w:spacing w:line="240" w:lineRule="auto"/>
        <w:ind w:hanging="1162"/>
      </w:pPr>
      <w:bookmarkStart w:id="28" w:name="_Toc410140903"/>
      <w:bookmarkStart w:id="29" w:name="_Toc491268967"/>
      <w:r>
        <w:t>4</w:t>
      </w:r>
      <w:r w:rsidR="00096F6B" w:rsidRPr="004D372F">
        <w:t>.</w:t>
      </w:r>
      <w:r w:rsidR="00096F6B">
        <w:t>4</w:t>
      </w:r>
      <w:r w:rsidR="00096F6B" w:rsidRPr="004D372F">
        <w:t xml:space="preserve"> </w:t>
      </w:r>
      <w:r w:rsidR="00096F6B">
        <w:tab/>
        <w:t>Operationeel management</w:t>
      </w:r>
      <w:bookmarkEnd w:id="28"/>
      <w:bookmarkEnd w:id="29"/>
    </w:p>
    <w:p w14:paraId="7458001F" w14:textId="303B0058" w:rsidR="00096F6B" w:rsidRPr="00A2798C" w:rsidRDefault="00096F6B" w:rsidP="00096F6B">
      <w:r w:rsidRPr="00A2798C">
        <w:rPr>
          <w:rFonts w:cs="Calibri"/>
          <w:szCs w:val="18"/>
        </w:rPr>
        <w:t>Een analyse in 2014 van evaluaties van landenprogramma's in vier landen met interne conflicten concludeert dat UNDP dankzij stabiele aanwezigheid, capaciteit om op verschillende niveaus te werken en de focus op bestuur en capaciteitsopbouw goed is geëquipeerd om in landen met interne conflicten te werken. De organisatie moet echter betere conflict- en risicoanalyse maken, evenals plannen om daarmee om te gaan. Deze bevindingen bevestigen de</w:t>
      </w:r>
      <w:r w:rsidRPr="00A2798C">
        <w:t xml:space="preserve"> evaluatie van UNDP’s assistentie en rol in (post) conflictlanden die wees op UNDP’s comparatieve voordeel van politieke neutraliteit en lange termijn aanwezigheid, doch UNDP opriep meer vanuit een veranderingstheorie en goede conflictanalyse te werken. De indruk is dat UNDP in het programma voor versterking van de rechtsstaat meer </w:t>
      </w:r>
      <w:r w:rsidR="00844CC1" w:rsidRPr="00A2798C">
        <w:t>context specifiek</w:t>
      </w:r>
      <w:r w:rsidRPr="00A2798C">
        <w:t xml:space="preserve"> is gaan werken. Aanbevelingen uit eerdere evaluaties zijn: geleerde lessen systematischer gebruiken, meer gefocust en minder gefragmenteerd werken, meer inzetten op nationale beleids- en veranderingsprocessen en meer aandacht besteden aan duurzaamheid van programma's. UNDP heeft aandacht voor deze aspecten expliciet opgenomen in de uitgangspunten van het Strategische Plan 2014 – 2017.</w:t>
      </w:r>
    </w:p>
    <w:p w14:paraId="6F09A310" w14:textId="77777777" w:rsidR="00096F6B" w:rsidRDefault="00096F6B" w:rsidP="00096F6B">
      <w:pPr>
        <w:rPr>
          <w:color w:val="FF0000"/>
        </w:rPr>
      </w:pPr>
    </w:p>
    <w:p w14:paraId="5FC19C1D" w14:textId="45568498" w:rsidR="00096F6B" w:rsidRPr="006334B6" w:rsidRDefault="00096F6B" w:rsidP="00096F6B">
      <w:r w:rsidRPr="000E44B5">
        <w:t>Uit het Board of Auditors (BoA) 201</w:t>
      </w:r>
      <w:r w:rsidR="00563F9B" w:rsidRPr="000E44B5">
        <w:t>6</w:t>
      </w:r>
      <w:r w:rsidRPr="000E44B5">
        <w:t xml:space="preserve"> rapport blijkt</w:t>
      </w:r>
      <w:r w:rsidRPr="006334B6">
        <w:t xml:space="preserve"> dat er hardnekkige punten zijn waarop UNDP onvoldoende vooruitgang boekt. Het betreft</w:t>
      </w:r>
      <w:r w:rsidR="00563F9B">
        <w:t xml:space="preserve"> voornamelijk</w:t>
      </w:r>
      <w:r w:rsidR="00356075">
        <w:t xml:space="preserve"> </w:t>
      </w:r>
      <w:r w:rsidRPr="006334B6">
        <w:t xml:space="preserve">(1) goed projectbeheer (2) beoordeling/monitoring van uitvoerende partners (IP’s). Er wordt sinds enkele jaren door de externe auditor geconstateerd dat er </w:t>
      </w:r>
      <w:r w:rsidR="00563F9B">
        <w:t>(1) onvoldoende toezicht is op projectuitvoering</w:t>
      </w:r>
      <w:r w:rsidR="0007383E">
        <w:t>;</w:t>
      </w:r>
      <w:r w:rsidR="00844CC1">
        <w:t xml:space="preserve"> </w:t>
      </w:r>
      <w:r w:rsidRPr="006334B6">
        <w:t xml:space="preserve">vertraging in financiële afsluiting van projecten en (2) uitvoerende partners ruim </w:t>
      </w:r>
      <w:r>
        <w:t xml:space="preserve">voorschotten ontvangen </w:t>
      </w:r>
      <w:r w:rsidRPr="006334B6">
        <w:t xml:space="preserve">zonder dat daarover tijdig wordt gerapporteerd. Het tweede punt betreft het probleem van de herziene </w:t>
      </w:r>
      <w:r w:rsidRPr="006334B6">
        <w:rPr>
          <w:i/>
        </w:rPr>
        <w:t>Harmonized Approach to Cash Transfers</w:t>
      </w:r>
      <w:r w:rsidRPr="006334B6">
        <w:t xml:space="preserve"> (HACT) en is een terugkerende kwestie. Dit betekent dat er geen/onvoldoende macro-assessments in het land van uitvoering worden gedaan en </w:t>
      </w:r>
      <w:r>
        <w:t xml:space="preserve">dat de </w:t>
      </w:r>
      <w:r w:rsidRPr="006334B6">
        <w:t xml:space="preserve">beoordeling </w:t>
      </w:r>
      <w:r>
        <w:t xml:space="preserve">vooraf </w:t>
      </w:r>
      <w:r w:rsidRPr="006334B6">
        <w:t xml:space="preserve">van de beheerscapaciteit van een IP (micro-assessment) slecht wordt uitgevoerd. </w:t>
      </w:r>
      <w:r>
        <w:t xml:space="preserve">Dit is </w:t>
      </w:r>
      <w:r w:rsidRPr="006334B6">
        <w:t xml:space="preserve">zorgwekkend, aangezien UNDP de </w:t>
      </w:r>
      <w:r>
        <w:t>uitvoering</w:t>
      </w:r>
      <w:r w:rsidRPr="006334B6">
        <w:t xml:space="preserve"> van projecten </w:t>
      </w:r>
      <w:r>
        <w:t>vaak</w:t>
      </w:r>
      <w:r w:rsidRPr="006334B6">
        <w:t xml:space="preserve"> aan lokale overheden/NGO’s en </w:t>
      </w:r>
      <w:r>
        <w:t xml:space="preserve">laat en </w:t>
      </w:r>
      <w:r w:rsidRPr="006334B6">
        <w:t xml:space="preserve">het daarbij belangrijk is om vooraf evt. risico’s helder in beeld te hebben. UNDP werkt met </w:t>
      </w:r>
      <w:r>
        <w:t>groot aantal I</w:t>
      </w:r>
      <w:r w:rsidRPr="006334B6">
        <w:t>P’s. Gedeeltelijk worden deze punten ook in het interne audit rapport 2016 bevestigd. Terugkerende kwesties bij landenkantoren zijn onvoldoende monitoring van uitstaande voorschotten, zwak functionerend procurement proces, onvoldoende toepassing van het HACT-systeem en matig projectbeheer.</w:t>
      </w:r>
    </w:p>
    <w:p w14:paraId="218EF5C1" w14:textId="77777777" w:rsidR="00096F6B" w:rsidRPr="007D2C30" w:rsidRDefault="00096F6B" w:rsidP="00096F6B">
      <w:pPr>
        <w:rPr>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0"/>
        <w:gridCol w:w="949"/>
      </w:tblGrid>
      <w:tr w:rsidR="00096F6B" w:rsidRPr="00EA0AA8" w14:paraId="69D452BC" w14:textId="77777777" w:rsidTr="00C9064D">
        <w:tc>
          <w:tcPr>
            <w:tcW w:w="6640" w:type="dxa"/>
            <w:tcBorders>
              <w:top w:val="single" w:sz="12" w:space="0" w:color="auto"/>
              <w:left w:val="single" w:sz="12" w:space="0" w:color="auto"/>
              <w:bottom w:val="single" w:sz="12" w:space="0" w:color="auto"/>
            </w:tcBorders>
            <w:shd w:val="clear" w:color="auto" w:fill="D0CECE"/>
          </w:tcPr>
          <w:p w14:paraId="0476B233" w14:textId="77777777" w:rsidR="00096F6B" w:rsidRPr="00EA0AA8" w:rsidRDefault="00096F6B" w:rsidP="00C9064D">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0CECE"/>
          </w:tcPr>
          <w:p w14:paraId="589F1422" w14:textId="77777777" w:rsidR="00096F6B" w:rsidRPr="00EA0AA8" w:rsidRDefault="00096F6B" w:rsidP="00C9064D">
            <w:pPr>
              <w:jc w:val="center"/>
              <w:rPr>
                <w:b/>
              </w:rPr>
            </w:pPr>
            <w:r w:rsidRPr="00EA0AA8">
              <w:rPr>
                <w:b/>
              </w:rPr>
              <w:t>Score</w:t>
            </w:r>
          </w:p>
        </w:tc>
      </w:tr>
      <w:tr w:rsidR="00096F6B" w14:paraId="109EEFD0" w14:textId="77777777" w:rsidTr="00C9064D">
        <w:tc>
          <w:tcPr>
            <w:tcW w:w="6640" w:type="dxa"/>
            <w:tcBorders>
              <w:top w:val="single" w:sz="12" w:space="0" w:color="auto"/>
              <w:left w:val="single" w:sz="12" w:space="0" w:color="auto"/>
            </w:tcBorders>
            <w:shd w:val="clear" w:color="auto" w:fill="auto"/>
          </w:tcPr>
          <w:p w14:paraId="1176F634" w14:textId="77777777" w:rsidR="00096F6B" w:rsidRDefault="00096F6B" w:rsidP="00C9064D">
            <w:r>
              <w:t>Delegatie van bevoegdheden</w:t>
            </w:r>
          </w:p>
        </w:tc>
        <w:tc>
          <w:tcPr>
            <w:tcW w:w="949" w:type="dxa"/>
            <w:tcBorders>
              <w:top w:val="single" w:sz="12" w:space="0" w:color="auto"/>
              <w:right w:val="single" w:sz="12" w:space="0" w:color="auto"/>
            </w:tcBorders>
            <w:shd w:val="clear" w:color="auto" w:fill="auto"/>
          </w:tcPr>
          <w:p w14:paraId="1BCFDEB1" w14:textId="77777777" w:rsidR="00096F6B" w:rsidRDefault="00096F6B" w:rsidP="00C9064D">
            <w:pPr>
              <w:jc w:val="center"/>
            </w:pPr>
            <w:r>
              <w:t>3</w:t>
            </w:r>
          </w:p>
        </w:tc>
      </w:tr>
      <w:tr w:rsidR="00096F6B" w14:paraId="4EEB1DE1" w14:textId="77777777" w:rsidTr="00C9064D">
        <w:tc>
          <w:tcPr>
            <w:tcW w:w="6640" w:type="dxa"/>
            <w:tcBorders>
              <w:left w:val="single" w:sz="12" w:space="0" w:color="auto"/>
            </w:tcBorders>
            <w:shd w:val="clear" w:color="auto" w:fill="auto"/>
          </w:tcPr>
          <w:p w14:paraId="3C62CB4A" w14:textId="77777777" w:rsidR="00096F6B" w:rsidRDefault="00096F6B" w:rsidP="00C9064D">
            <w:r>
              <w:t>Projectbeheer en financieel beheer</w:t>
            </w:r>
          </w:p>
        </w:tc>
        <w:tc>
          <w:tcPr>
            <w:tcW w:w="949" w:type="dxa"/>
            <w:tcBorders>
              <w:right w:val="single" w:sz="12" w:space="0" w:color="auto"/>
            </w:tcBorders>
            <w:shd w:val="clear" w:color="auto" w:fill="auto"/>
          </w:tcPr>
          <w:p w14:paraId="351DAFB9" w14:textId="77777777" w:rsidR="00096F6B" w:rsidRDefault="00096F6B" w:rsidP="00C9064D">
            <w:pPr>
              <w:jc w:val="center"/>
            </w:pPr>
            <w:r>
              <w:t>2</w:t>
            </w:r>
          </w:p>
        </w:tc>
      </w:tr>
      <w:tr w:rsidR="00096F6B" w14:paraId="1AE433BC" w14:textId="77777777" w:rsidTr="00C9064D">
        <w:tc>
          <w:tcPr>
            <w:tcW w:w="6640" w:type="dxa"/>
            <w:tcBorders>
              <w:left w:val="single" w:sz="12" w:space="0" w:color="auto"/>
            </w:tcBorders>
            <w:shd w:val="clear" w:color="auto" w:fill="auto"/>
          </w:tcPr>
          <w:p w14:paraId="2CE61A21" w14:textId="77777777" w:rsidR="00096F6B" w:rsidRDefault="00096F6B" w:rsidP="00C9064D">
            <w:r>
              <w:t>Verantwoordelijkheden en bevoegdheden decentrale kantoren</w:t>
            </w:r>
          </w:p>
        </w:tc>
        <w:tc>
          <w:tcPr>
            <w:tcW w:w="949" w:type="dxa"/>
            <w:tcBorders>
              <w:right w:val="single" w:sz="12" w:space="0" w:color="auto"/>
            </w:tcBorders>
            <w:shd w:val="clear" w:color="auto" w:fill="auto"/>
          </w:tcPr>
          <w:p w14:paraId="12853237" w14:textId="77777777" w:rsidR="00096F6B" w:rsidRDefault="00096F6B" w:rsidP="00C9064D">
            <w:pPr>
              <w:jc w:val="center"/>
            </w:pPr>
            <w:r>
              <w:t>2</w:t>
            </w:r>
          </w:p>
        </w:tc>
      </w:tr>
      <w:tr w:rsidR="00096F6B" w14:paraId="5C19AE95" w14:textId="77777777" w:rsidTr="00C9064D">
        <w:tc>
          <w:tcPr>
            <w:tcW w:w="6640" w:type="dxa"/>
            <w:tcBorders>
              <w:left w:val="single" w:sz="12" w:space="0" w:color="auto"/>
              <w:bottom w:val="single" w:sz="12" w:space="0" w:color="auto"/>
            </w:tcBorders>
            <w:shd w:val="clear" w:color="auto" w:fill="auto"/>
          </w:tcPr>
          <w:p w14:paraId="3FA17F46" w14:textId="77777777" w:rsidR="00096F6B" w:rsidRDefault="00096F6B" w:rsidP="00C9064D">
            <w:r>
              <w:t>Gebruik van lokale partners en systemen</w:t>
            </w:r>
          </w:p>
        </w:tc>
        <w:tc>
          <w:tcPr>
            <w:tcW w:w="949" w:type="dxa"/>
            <w:tcBorders>
              <w:bottom w:val="single" w:sz="12" w:space="0" w:color="auto"/>
              <w:right w:val="single" w:sz="12" w:space="0" w:color="auto"/>
            </w:tcBorders>
            <w:shd w:val="clear" w:color="auto" w:fill="auto"/>
          </w:tcPr>
          <w:p w14:paraId="319C8150" w14:textId="77777777" w:rsidR="00096F6B" w:rsidRDefault="00096F6B" w:rsidP="00C9064D">
            <w:pPr>
              <w:jc w:val="center"/>
            </w:pPr>
            <w:r>
              <w:t>2</w:t>
            </w:r>
          </w:p>
        </w:tc>
      </w:tr>
      <w:tr w:rsidR="00096F6B" w:rsidRPr="00EA0AA8" w14:paraId="6874F8B7" w14:textId="77777777" w:rsidTr="00C9064D">
        <w:tc>
          <w:tcPr>
            <w:tcW w:w="6640" w:type="dxa"/>
            <w:tcBorders>
              <w:top w:val="single" w:sz="12" w:space="0" w:color="auto"/>
              <w:left w:val="single" w:sz="12" w:space="0" w:color="auto"/>
              <w:bottom w:val="single" w:sz="12" w:space="0" w:color="auto"/>
            </w:tcBorders>
            <w:shd w:val="clear" w:color="auto" w:fill="D0CECE"/>
          </w:tcPr>
          <w:p w14:paraId="604B5FC5" w14:textId="77777777" w:rsidR="00096F6B" w:rsidRPr="00EA0AA8" w:rsidRDefault="00096F6B" w:rsidP="00C9064D">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46A5FA02" w14:textId="77777777" w:rsidR="00096F6B" w:rsidRPr="00EA0AA8" w:rsidRDefault="00096F6B" w:rsidP="00C9064D">
            <w:pPr>
              <w:jc w:val="center"/>
              <w:rPr>
                <w:b/>
              </w:rPr>
            </w:pPr>
            <w:r>
              <w:rPr>
                <w:b/>
              </w:rPr>
              <w:t>2</w:t>
            </w:r>
          </w:p>
        </w:tc>
      </w:tr>
    </w:tbl>
    <w:p w14:paraId="341ABCC0" w14:textId="77777777" w:rsidR="00102B2B" w:rsidRDefault="00102B2B" w:rsidP="00096F6B"/>
    <w:p w14:paraId="0599711C" w14:textId="247C6999" w:rsidR="00102B2B" w:rsidRDefault="00096F6B" w:rsidP="00356075">
      <w:pPr>
        <w:ind w:firstLine="227"/>
      </w:pPr>
      <w:r w:rsidRPr="00193994">
        <w:t>Verandering</w:t>
      </w:r>
      <w:r>
        <w:t xml:space="preserve"> sinds 2015: neutraal</w:t>
      </w:r>
      <w:r w:rsidRPr="00193994">
        <w:t xml:space="preserve"> = </w:t>
      </w:r>
      <w:r w:rsidRPr="00193994">
        <w:sym w:font="Wingdings" w:char="F0E8"/>
      </w:r>
    </w:p>
    <w:p w14:paraId="5AEA9780" w14:textId="7E58FF0B" w:rsidR="00096F6B" w:rsidRDefault="00CC19D4" w:rsidP="00096F6B">
      <w:pPr>
        <w:pStyle w:val="Heading2"/>
        <w:tabs>
          <w:tab w:val="left" w:pos="-1162"/>
          <w:tab w:val="left" w:pos="0"/>
          <w:tab w:val="num" w:pos="1160"/>
        </w:tabs>
        <w:spacing w:line="240" w:lineRule="auto"/>
        <w:ind w:hanging="1162"/>
        <w:rPr>
          <w:b w:val="0"/>
        </w:rPr>
      </w:pPr>
      <w:bookmarkStart w:id="30" w:name="_Toc491268968"/>
      <w:r>
        <w:lastRenderedPageBreak/>
        <w:t>4</w:t>
      </w:r>
      <w:r w:rsidR="00096F6B">
        <w:t>.5</w:t>
      </w:r>
      <w:r w:rsidR="00096F6B">
        <w:tab/>
      </w:r>
      <w:r w:rsidR="00096F6B" w:rsidRPr="004D372F">
        <w:t>Beleidsevaluatie</w:t>
      </w:r>
      <w:bookmarkEnd w:id="30"/>
    </w:p>
    <w:p w14:paraId="74C2FED6" w14:textId="77777777" w:rsidR="00096F6B" w:rsidRDefault="00096F6B" w:rsidP="00096F6B">
      <w:r>
        <w:t xml:space="preserve">UNDP’s evaluatiebeleid beschrijft onder andere de verdeling van verantwoordelijkheden, de uitgangspunten en de normen waaraan evaluaties moeten voldoen. De Evaluatiedienst is een intern, onafhankelijk toezichtsorgaan dat rapporteert aan het management en de Uitvoerende Raad. Sinds 2013 heeft UNDP eveneens een evaluatieadvies panel, dat de Evaluatiedienst adviseert. De Evaluatiedienst voert systematisch thematische en institutionele evaluaties uit, evenals evaluaties van landenprogramma's en presenteert deze aan de Uitvoerende Raad in een jaarlijks verslag. Ook op landenniveau zijn voldoende </w:t>
      </w:r>
      <w:r>
        <w:rPr>
          <w:color w:val="000000"/>
        </w:rPr>
        <w:t xml:space="preserve">monitoring en evaluatie-expert aanwezig. Ook binnen de gehele VN familie </w:t>
      </w:r>
      <w:r>
        <w:t xml:space="preserve">komt de evaluatiedienst van UNDP als meest ontwikkeld naar voren, zo bleek uit een studie naar evaluatiefuncties binnen de VN van de </w:t>
      </w:r>
      <w:r w:rsidRPr="0085256C">
        <w:rPr>
          <w:i/>
        </w:rPr>
        <w:t>Joint Inspection Unit</w:t>
      </w:r>
      <w:r>
        <w:t xml:space="preserve"> (JIU). De directeur van de Evaluatiedienst beslist over de aanwending van het budget, aanstelling van staf, de uitvoering van evaluaties en heeft een beslissende stem met betrekking tot de inhoud van de evaluatierapporten. Daarmee is voldoende onafhankelijkheid gewaarborgd. </w:t>
      </w:r>
    </w:p>
    <w:p w14:paraId="77B742D0" w14:textId="77777777" w:rsidR="00096F6B" w:rsidRDefault="00096F6B" w:rsidP="00096F6B"/>
    <w:p w14:paraId="4C8B1521" w14:textId="61609266" w:rsidR="00096F6B" w:rsidRDefault="00096F6B" w:rsidP="00096F6B">
      <w:r>
        <w:rPr>
          <w:color w:val="000000"/>
        </w:rPr>
        <w:t xml:space="preserve">De structuur van de evaluatiedienst kan dus als </w:t>
      </w:r>
      <w:r>
        <w:t xml:space="preserve">sterk, professioneel en onafhankelijk worden gezien. Over de uitvoering zijn de afgelopen jaren echter kanttekeningen geplaatst, met name ten aanzien van de kwaliteit van decentrale evaluaties. Een evaluatie in 2014 over het evaluatiebeleid was zeer kritisch over de kwaliteit en onafhankelijkheid van de decentrale evaluaties, en vroeg ook aandacht voor versterking van een resultaatgerichte cultuur en leren van evaluaties. De landenkantoren gaven aan de evaluaties </w:t>
      </w:r>
      <w:r>
        <w:rPr>
          <w:szCs w:val="18"/>
        </w:rPr>
        <w:t>als weinig nuttig te ervaren en er weinig middelen voor ter beschikking te hebben. Het rapport pleitte verder voor versterking van de onafhankelijkheid en directere betrokkenheid van de Raad bij het toezicht op de evaluatiedienst. Bevindingen die haaks staan op eerdere analyses.</w:t>
      </w:r>
    </w:p>
    <w:p w14:paraId="0EB67EAA" w14:textId="77777777" w:rsidR="00096F6B" w:rsidRDefault="00096F6B" w:rsidP="00096F6B"/>
    <w:p w14:paraId="0A25F3E9" w14:textId="77777777" w:rsidR="00096F6B" w:rsidRDefault="00096F6B" w:rsidP="00096F6B">
      <w:r>
        <w:t>Na discussie in de Uitvoerende Raad is UNDP aan het werk gegaan om deze aspecten te adresseren bij de ontwikkeling van het nieuwe evaluatiebeleid, inclusief</w:t>
      </w:r>
      <w:r w:rsidRPr="002A7386">
        <w:rPr>
          <w:szCs w:val="18"/>
        </w:rPr>
        <w:t xml:space="preserve"> </w:t>
      </w:r>
      <w:r>
        <w:rPr>
          <w:szCs w:val="18"/>
        </w:rPr>
        <w:t>een heldere taakverdeling, jaarlijkse werkplannen en budget</w:t>
      </w:r>
      <w:r>
        <w:t xml:space="preserve">. Er zijn echter verschillende standpunten over de </w:t>
      </w:r>
      <w:r>
        <w:rPr>
          <w:szCs w:val="18"/>
        </w:rPr>
        <w:t>betrokkenheid van de Raad bij aansturing van de evaluatiedienst. Over de herziening van UNDP's evaluatiebeleid is dan ook nog geen overeenstemming bereikt. Belangrijk verschil van inzicht betreft de betrokkenheid van de Board bij de benoeming van het hoofd van de evaluatiedienst. UNDP management wil hier meer controle over uit voeren wat de onafhankelijkheid van de dienst in gevaar zou kunnen brengen. Resultaat van dit alles is dat er nog steeds wordt gewerkt met het beleidskader uit 2011.</w:t>
      </w:r>
    </w:p>
    <w:p w14:paraId="6D0AF54D" w14:textId="77777777" w:rsidR="00096F6B" w:rsidRDefault="00096F6B" w:rsidP="00096F6B">
      <w:pPr>
        <w:rPr>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2"/>
        <w:gridCol w:w="997"/>
      </w:tblGrid>
      <w:tr w:rsidR="00096F6B" w:rsidRPr="00EA0AA8" w14:paraId="0F5A58BF" w14:textId="77777777" w:rsidTr="00C9064D">
        <w:tc>
          <w:tcPr>
            <w:tcW w:w="6592" w:type="dxa"/>
            <w:tcBorders>
              <w:top w:val="single" w:sz="12" w:space="0" w:color="auto"/>
              <w:left w:val="single" w:sz="12" w:space="0" w:color="auto"/>
              <w:bottom w:val="single" w:sz="12" w:space="0" w:color="auto"/>
            </w:tcBorders>
            <w:shd w:val="clear" w:color="auto" w:fill="D0CECE"/>
          </w:tcPr>
          <w:p w14:paraId="58718BFF" w14:textId="77777777" w:rsidR="00096F6B" w:rsidRPr="00EA0AA8" w:rsidRDefault="00096F6B" w:rsidP="00C9064D">
            <w:pPr>
              <w:rPr>
                <w:b/>
              </w:rPr>
            </w:pPr>
            <w:r w:rsidRPr="00EA0AA8">
              <w:rPr>
                <w:b/>
              </w:rPr>
              <w:t>Onderdeel</w:t>
            </w:r>
          </w:p>
        </w:tc>
        <w:tc>
          <w:tcPr>
            <w:tcW w:w="997" w:type="dxa"/>
            <w:tcBorders>
              <w:top w:val="single" w:sz="12" w:space="0" w:color="auto"/>
              <w:bottom w:val="single" w:sz="12" w:space="0" w:color="auto"/>
              <w:right w:val="single" w:sz="12" w:space="0" w:color="auto"/>
            </w:tcBorders>
            <w:shd w:val="clear" w:color="auto" w:fill="D0CECE"/>
          </w:tcPr>
          <w:p w14:paraId="1714ADC0" w14:textId="77777777" w:rsidR="00096F6B" w:rsidRPr="00EA0AA8" w:rsidRDefault="00096F6B" w:rsidP="00C9064D">
            <w:pPr>
              <w:rPr>
                <w:b/>
              </w:rPr>
            </w:pPr>
            <w:r w:rsidRPr="00EA0AA8">
              <w:rPr>
                <w:b/>
              </w:rPr>
              <w:t>Score</w:t>
            </w:r>
          </w:p>
        </w:tc>
      </w:tr>
      <w:tr w:rsidR="00096F6B" w14:paraId="4FEB685F" w14:textId="77777777" w:rsidTr="00C9064D">
        <w:tc>
          <w:tcPr>
            <w:tcW w:w="6592" w:type="dxa"/>
            <w:tcBorders>
              <w:top w:val="single" w:sz="12" w:space="0" w:color="auto"/>
              <w:left w:val="single" w:sz="12" w:space="0" w:color="auto"/>
            </w:tcBorders>
            <w:shd w:val="clear" w:color="auto" w:fill="auto"/>
          </w:tcPr>
          <w:p w14:paraId="180B617E" w14:textId="77777777" w:rsidR="00096F6B" w:rsidRDefault="00096F6B" w:rsidP="00C9064D">
            <w:r>
              <w:t>Helder vastgelegd evaluatiebeleid</w:t>
            </w:r>
          </w:p>
        </w:tc>
        <w:tc>
          <w:tcPr>
            <w:tcW w:w="997" w:type="dxa"/>
            <w:tcBorders>
              <w:top w:val="single" w:sz="12" w:space="0" w:color="auto"/>
              <w:right w:val="single" w:sz="12" w:space="0" w:color="auto"/>
            </w:tcBorders>
            <w:shd w:val="clear" w:color="auto" w:fill="auto"/>
          </w:tcPr>
          <w:p w14:paraId="07A7EAE8" w14:textId="77777777" w:rsidR="00096F6B" w:rsidRDefault="00096F6B" w:rsidP="00C9064D">
            <w:pPr>
              <w:jc w:val="center"/>
            </w:pPr>
            <w:r>
              <w:t>2</w:t>
            </w:r>
          </w:p>
        </w:tc>
      </w:tr>
      <w:tr w:rsidR="00096F6B" w14:paraId="52A37D59" w14:textId="77777777" w:rsidTr="00C9064D">
        <w:tc>
          <w:tcPr>
            <w:tcW w:w="6592" w:type="dxa"/>
            <w:tcBorders>
              <w:left w:val="single" w:sz="12" w:space="0" w:color="auto"/>
            </w:tcBorders>
            <w:shd w:val="clear" w:color="auto" w:fill="auto"/>
          </w:tcPr>
          <w:p w14:paraId="150FF728" w14:textId="77777777" w:rsidR="00096F6B" w:rsidRDefault="00096F6B" w:rsidP="00C9064D">
            <w:r>
              <w:t>Inrichting evaluatiefunctie</w:t>
            </w:r>
          </w:p>
        </w:tc>
        <w:tc>
          <w:tcPr>
            <w:tcW w:w="997" w:type="dxa"/>
            <w:tcBorders>
              <w:right w:val="single" w:sz="12" w:space="0" w:color="auto"/>
            </w:tcBorders>
            <w:shd w:val="clear" w:color="auto" w:fill="auto"/>
          </w:tcPr>
          <w:p w14:paraId="20896990" w14:textId="77777777" w:rsidR="00096F6B" w:rsidRDefault="00096F6B" w:rsidP="00C9064D">
            <w:pPr>
              <w:jc w:val="center"/>
            </w:pPr>
            <w:r>
              <w:t>3</w:t>
            </w:r>
          </w:p>
        </w:tc>
      </w:tr>
      <w:tr w:rsidR="00096F6B" w14:paraId="1BBB685C" w14:textId="77777777" w:rsidTr="00C9064D">
        <w:tc>
          <w:tcPr>
            <w:tcW w:w="6592" w:type="dxa"/>
            <w:tcBorders>
              <w:left w:val="single" w:sz="12" w:space="0" w:color="auto"/>
            </w:tcBorders>
            <w:shd w:val="clear" w:color="auto" w:fill="auto"/>
          </w:tcPr>
          <w:p w14:paraId="650C9679" w14:textId="77777777" w:rsidR="00096F6B" w:rsidRDefault="00096F6B" w:rsidP="00C9064D">
            <w:r>
              <w:t>Onafhankelijkheid evaluatie-eenheid</w:t>
            </w:r>
          </w:p>
        </w:tc>
        <w:tc>
          <w:tcPr>
            <w:tcW w:w="997" w:type="dxa"/>
            <w:tcBorders>
              <w:right w:val="single" w:sz="12" w:space="0" w:color="auto"/>
            </w:tcBorders>
            <w:shd w:val="clear" w:color="auto" w:fill="auto"/>
          </w:tcPr>
          <w:p w14:paraId="2EF58350" w14:textId="77777777" w:rsidR="00096F6B" w:rsidRDefault="00096F6B" w:rsidP="00C9064D">
            <w:pPr>
              <w:jc w:val="center"/>
            </w:pPr>
            <w:r>
              <w:t>3</w:t>
            </w:r>
          </w:p>
        </w:tc>
      </w:tr>
      <w:tr w:rsidR="00096F6B" w14:paraId="4408AA2F" w14:textId="77777777" w:rsidTr="00C9064D">
        <w:tc>
          <w:tcPr>
            <w:tcW w:w="6592" w:type="dxa"/>
            <w:tcBorders>
              <w:left w:val="single" w:sz="12" w:space="0" w:color="auto"/>
            </w:tcBorders>
            <w:shd w:val="clear" w:color="auto" w:fill="auto"/>
          </w:tcPr>
          <w:p w14:paraId="7F9F5228" w14:textId="77777777" w:rsidR="00096F6B" w:rsidRDefault="00096F6B" w:rsidP="00C9064D">
            <w:r>
              <w:t>Reikwijdte en relevantie evaluaties</w:t>
            </w:r>
          </w:p>
        </w:tc>
        <w:tc>
          <w:tcPr>
            <w:tcW w:w="997" w:type="dxa"/>
            <w:tcBorders>
              <w:right w:val="single" w:sz="12" w:space="0" w:color="auto"/>
            </w:tcBorders>
            <w:shd w:val="clear" w:color="auto" w:fill="auto"/>
          </w:tcPr>
          <w:p w14:paraId="1E1FC657" w14:textId="77777777" w:rsidR="00096F6B" w:rsidRDefault="00096F6B" w:rsidP="00C9064D">
            <w:pPr>
              <w:jc w:val="center"/>
            </w:pPr>
            <w:r>
              <w:t>2</w:t>
            </w:r>
          </w:p>
        </w:tc>
      </w:tr>
      <w:tr w:rsidR="00096F6B" w14:paraId="46BC3894" w14:textId="77777777" w:rsidTr="00C9064D">
        <w:tc>
          <w:tcPr>
            <w:tcW w:w="6592" w:type="dxa"/>
            <w:tcBorders>
              <w:left w:val="single" w:sz="12" w:space="0" w:color="auto"/>
              <w:bottom w:val="single" w:sz="12" w:space="0" w:color="auto"/>
            </w:tcBorders>
            <w:shd w:val="clear" w:color="auto" w:fill="auto"/>
          </w:tcPr>
          <w:p w14:paraId="1B7597DB" w14:textId="77777777" w:rsidR="00096F6B" w:rsidRDefault="00096F6B" w:rsidP="00C9064D">
            <w:r>
              <w:t>Follow up aanbevelingen evaluaties</w:t>
            </w:r>
          </w:p>
        </w:tc>
        <w:tc>
          <w:tcPr>
            <w:tcW w:w="997" w:type="dxa"/>
            <w:tcBorders>
              <w:bottom w:val="single" w:sz="12" w:space="0" w:color="auto"/>
              <w:right w:val="single" w:sz="12" w:space="0" w:color="auto"/>
            </w:tcBorders>
            <w:shd w:val="clear" w:color="auto" w:fill="auto"/>
          </w:tcPr>
          <w:p w14:paraId="094F6AAE" w14:textId="77777777" w:rsidR="00096F6B" w:rsidRDefault="00096F6B" w:rsidP="00C9064D">
            <w:pPr>
              <w:jc w:val="center"/>
            </w:pPr>
            <w:r>
              <w:t>3</w:t>
            </w:r>
          </w:p>
        </w:tc>
      </w:tr>
      <w:tr w:rsidR="00096F6B" w:rsidRPr="00EA0AA8" w14:paraId="349CCB72" w14:textId="77777777" w:rsidTr="00C9064D">
        <w:trPr>
          <w:trHeight w:val="33"/>
        </w:trPr>
        <w:tc>
          <w:tcPr>
            <w:tcW w:w="6592" w:type="dxa"/>
            <w:tcBorders>
              <w:top w:val="single" w:sz="12" w:space="0" w:color="auto"/>
              <w:left w:val="single" w:sz="12" w:space="0" w:color="auto"/>
              <w:bottom w:val="single" w:sz="12" w:space="0" w:color="auto"/>
            </w:tcBorders>
            <w:shd w:val="clear" w:color="auto" w:fill="D0CECE"/>
          </w:tcPr>
          <w:p w14:paraId="3DD3556A" w14:textId="77777777" w:rsidR="00096F6B" w:rsidRPr="00EA0AA8" w:rsidRDefault="00096F6B" w:rsidP="00C9064D">
            <w:pPr>
              <w:rPr>
                <w:b/>
              </w:rPr>
            </w:pPr>
            <w:r w:rsidRPr="00F313B0">
              <w:rPr>
                <w:b/>
              </w:rPr>
              <w:t>TOTAAL</w:t>
            </w:r>
          </w:p>
        </w:tc>
        <w:tc>
          <w:tcPr>
            <w:tcW w:w="997" w:type="dxa"/>
            <w:tcBorders>
              <w:top w:val="single" w:sz="12" w:space="0" w:color="auto"/>
              <w:bottom w:val="single" w:sz="12" w:space="0" w:color="auto"/>
              <w:right w:val="single" w:sz="12" w:space="0" w:color="auto"/>
            </w:tcBorders>
            <w:shd w:val="clear" w:color="auto" w:fill="D0CECE"/>
          </w:tcPr>
          <w:p w14:paraId="6F80A091" w14:textId="77777777" w:rsidR="00096F6B" w:rsidRPr="00EA0AA8" w:rsidRDefault="00096F6B" w:rsidP="00C9064D">
            <w:pPr>
              <w:jc w:val="center"/>
              <w:rPr>
                <w:b/>
              </w:rPr>
            </w:pPr>
            <w:r>
              <w:rPr>
                <w:b/>
              </w:rPr>
              <w:t>3</w:t>
            </w:r>
          </w:p>
        </w:tc>
      </w:tr>
    </w:tbl>
    <w:p w14:paraId="6BC5C945" w14:textId="77777777" w:rsidR="00102B2B" w:rsidRDefault="00102B2B" w:rsidP="00096F6B"/>
    <w:p w14:paraId="7E35961F" w14:textId="1E89B4A6" w:rsidR="00096F6B" w:rsidRDefault="00096F6B" w:rsidP="00102B2B">
      <w:pPr>
        <w:ind w:firstLine="227"/>
      </w:pPr>
      <w:r w:rsidRPr="00193994">
        <w:t>Ver</w:t>
      </w:r>
      <w:r>
        <w:t>a</w:t>
      </w:r>
      <w:r w:rsidRPr="00193994">
        <w:t>ndering</w:t>
      </w:r>
      <w:r>
        <w:t xml:space="preserve"> sinds 2015: neutraal</w:t>
      </w:r>
      <w:r w:rsidRPr="00193994">
        <w:t xml:space="preserve"> = </w:t>
      </w:r>
      <w:r w:rsidRPr="00193994">
        <w:sym w:font="Wingdings" w:char="F0E8"/>
      </w:r>
    </w:p>
    <w:p w14:paraId="23E40259" w14:textId="77777777" w:rsidR="00102B2B" w:rsidRDefault="00102B2B" w:rsidP="00102B2B">
      <w:pPr>
        <w:ind w:firstLine="227"/>
      </w:pPr>
    </w:p>
    <w:p w14:paraId="68CD2EED" w14:textId="6E4F48BD" w:rsidR="00096F6B" w:rsidRDefault="00CC19D4" w:rsidP="00096F6B">
      <w:pPr>
        <w:pStyle w:val="Heading2"/>
        <w:tabs>
          <w:tab w:val="left" w:pos="-1162"/>
          <w:tab w:val="left" w:pos="0"/>
          <w:tab w:val="num" w:pos="1160"/>
        </w:tabs>
        <w:spacing w:line="240" w:lineRule="auto"/>
        <w:ind w:hanging="1162"/>
      </w:pPr>
      <w:bookmarkStart w:id="31" w:name="_Toc348364671"/>
      <w:bookmarkStart w:id="32" w:name="_Toc491268969"/>
      <w:r>
        <w:t>4</w:t>
      </w:r>
      <w:r w:rsidR="00096F6B" w:rsidRPr="004D372F">
        <w:t>.</w:t>
      </w:r>
      <w:r w:rsidR="00096F6B">
        <w:t>6</w:t>
      </w:r>
      <w:r w:rsidR="00096F6B">
        <w:tab/>
      </w:r>
      <w:r w:rsidR="00096F6B" w:rsidRPr="004D372F">
        <w:t>Human Resource Management</w:t>
      </w:r>
      <w:bookmarkEnd w:id="31"/>
      <w:bookmarkEnd w:id="32"/>
    </w:p>
    <w:p w14:paraId="42F28994" w14:textId="77777777" w:rsidR="00096F6B" w:rsidRDefault="00096F6B" w:rsidP="00096F6B">
      <w:r>
        <w:t xml:space="preserve">Het huidige personeelsbeleid van UNDP dateert uit de periode 2008-2011. Er is sinds die periode een </w:t>
      </w:r>
      <w:r w:rsidRPr="007C4B67">
        <w:t>aantal initiatieven op het gebied van personeelsbeleid</w:t>
      </w:r>
      <w:r>
        <w:t xml:space="preserve"> gestart</w:t>
      </w:r>
      <w:r w:rsidRPr="007C4B67">
        <w:t>, zoals int</w:t>
      </w:r>
      <w:r>
        <w:t>ensiever gebruik van kandidaten</w:t>
      </w:r>
      <w:r w:rsidRPr="007C4B67">
        <w:t>banken, ontwikkeling van carrièreplannen</w:t>
      </w:r>
      <w:r>
        <w:t xml:space="preserve"> en </w:t>
      </w:r>
      <w:r>
        <w:lastRenderedPageBreak/>
        <w:t xml:space="preserve">meer </w:t>
      </w:r>
      <w:r w:rsidRPr="007C4B67">
        <w:t xml:space="preserve">gerichte planning van vervulling van vacatures. </w:t>
      </w:r>
      <w:r>
        <w:t xml:space="preserve">Vooral het vullen van vacatures (lange tijden) en het vasthouden van hoog gekwalificeerde medewerkers was jaren lang een zwak punt van UNDP, iets wat in meerder interne auditrapporten naar voren kwam. Er zit langzaam verbetering in maar er zijn nog steeds signalen van capaciteitsproblemen, wisselende teamsterktes en een te reactieve opstelling van UNDP. Een bijstelling van het beleid is aanstaande, maar heeft vertraging oplopen door de uitrol van de reorganisatie. </w:t>
      </w:r>
    </w:p>
    <w:p w14:paraId="6D94D3F2" w14:textId="77777777" w:rsidR="00096F6B" w:rsidRDefault="00096F6B" w:rsidP="00096F6B"/>
    <w:p w14:paraId="0193DB50" w14:textId="77777777" w:rsidR="00096F6B" w:rsidRDefault="00096F6B" w:rsidP="00096F6B">
      <w:r>
        <w:t xml:space="preserve">De brede, organisatorische reorganisatie (2014/2015) had tot doel de gehele organisatie flexibeler, minder topzwaar, jonger, kostenefficiënter en effectiever te maken. Hierbinnen was een belangrijke stap het verminderden van het personeelsbestand op het hoofdkantoor in de richting van de regionale kantoren. Parallel hieraan is ook het competentieraamwerk aangepast zodat het aansluit bij de nieuwe structuur en functieprofielen. In het huidige Strategische Plan 2014 – 2017 zijn indicatoren en streefcijfers opgenomen op het gebied van personeelszaken/beleid zoals: snelheid van vacaturevervulling, tevredenheid van medewerkers en vertegenwoordiging van vrouwen in de organisatie. </w:t>
      </w:r>
    </w:p>
    <w:p w14:paraId="20512ADC" w14:textId="77777777" w:rsidR="00096F6B" w:rsidRDefault="00096F6B" w:rsidP="00096F6B"/>
    <w:p w14:paraId="64E6067F" w14:textId="77777777" w:rsidR="00096F6B" w:rsidRDefault="00096F6B" w:rsidP="00096F6B">
      <w:r>
        <w:t xml:space="preserve">UNDP had in het verleden een vrij onevenwichtige personeelsopbouw, met relatief veel oudere en hoog ingeschaalde professionals. Met de verwachte uitstroom van een grote groep pensioengerechtigden en de instroom van jongere medewerkers uit het </w:t>
      </w:r>
      <w:r w:rsidRPr="00F75D44">
        <w:rPr>
          <w:i/>
        </w:rPr>
        <w:t>Junior Professional Officer Programme</w:t>
      </w:r>
      <w:r>
        <w:rPr>
          <w:i/>
        </w:rPr>
        <w:t xml:space="preserve"> </w:t>
      </w:r>
      <w:r>
        <w:t xml:space="preserve">en het </w:t>
      </w:r>
      <w:r w:rsidRPr="00F75D44">
        <w:rPr>
          <w:i/>
        </w:rPr>
        <w:t>Leadership Development Programme</w:t>
      </w:r>
      <w:r w:rsidRPr="00EF49A1">
        <w:t>,</w:t>
      </w:r>
      <w:r>
        <w:t xml:space="preserve"> hoopt UNDP de opbouw meer in evenwicht te brengen en de organisatie te verjongen. Resultaatssturing richting medewerkers en de functioneringscyclus blijven aandachtspunten. Hoewel de procedures en de middelen aanwezig zijn, loopt de organisaties achter in het gebruik hiervan en worden lage scores gehaald in het volmaken van de rapportages.</w:t>
      </w:r>
    </w:p>
    <w:p w14:paraId="679433E7" w14:textId="77777777" w:rsidR="00096F6B" w:rsidRDefault="00096F6B" w:rsidP="00096F6B"/>
    <w:p w14:paraId="3B980D85" w14:textId="77777777" w:rsidR="00096F6B" w:rsidRDefault="00096F6B" w:rsidP="00096F6B">
      <w:r>
        <w:t xml:space="preserve">In lijn met de QCPR streeft UNDP naar 50% vrouwelijke staf. Het beeld is gezond, met uitzondering van enkele managementlagen. Over de gehele personeelsbestand is het aantal vrouwen zelf licht in de meerderheid en ook in het Senior Management is een goede balans. UNDP volgt de in VN-breed kader overeengekomen salaris- en arbeidsvoorwaarden. </w:t>
      </w:r>
    </w:p>
    <w:p w14:paraId="534B70AC" w14:textId="77777777" w:rsidR="00096F6B" w:rsidRDefault="00096F6B" w:rsidP="00096F6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9"/>
        <w:gridCol w:w="950"/>
      </w:tblGrid>
      <w:tr w:rsidR="00096F6B" w:rsidRPr="00EA0AA8" w14:paraId="71F114C5" w14:textId="77777777" w:rsidTr="00C9064D">
        <w:tc>
          <w:tcPr>
            <w:tcW w:w="6804" w:type="dxa"/>
            <w:tcBorders>
              <w:top w:val="single" w:sz="12" w:space="0" w:color="auto"/>
              <w:left w:val="single" w:sz="12" w:space="0" w:color="auto"/>
              <w:bottom w:val="single" w:sz="12" w:space="0" w:color="auto"/>
            </w:tcBorders>
            <w:shd w:val="clear" w:color="auto" w:fill="D0CECE"/>
          </w:tcPr>
          <w:p w14:paraId="102E49A8" w14:textId="5D7F96C2" w:rsidR="00096F6B" w:rsidRPr="00EA0AA8" w:rsidRDefault="00096F6B" w:rsidP="00C9064D">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5ACC7D55" w14:textId="77777777" w:rsidR="00096F6B" w:rsidRPr="00EA0AA8" w:rsidRDefault="00096F6B" w:rsidP="00C9064D">
            <w:pPr>
              <w:rPr>
                <w:b/>
              </w:rPr>
            </w:pPr>
            <w:r w:rsidRPr="00EA0AA8">
              <w:rPr>
                <w:b/>
              </w:rPr>
              <w:t>Score</w:t>
            </w:r>
          </w:p>
        </w:tc>
      </w:tr>
      <w:tr w:rsidR="00096F6B" w14:paraId="5B18E30A" w14:textId="77777777" w:rsidTr="00C9064D">
        <w:tc>
          <w:tcPr>
            <w:tcW w:w="6804" w:type="dxa"/>
            <w:tcBorders>
              <w:top w:val="single" w:sz="12" w:space="0" w:color="auto"/>
              <w:left w:val="single" w:sz="12" w:space="0" w:color="auto"/>
            </w:tcBorders>
            <w:shd w:val="clear" w:color="auto" w:fill="auto"/>
          </w:tcPr>
          <w:p w14:paraId="48B6C32D" w14:textId="77777777" w:rsidR="00096F6B" w:rsidRDefault="00096F6B" w:rsidP="00C9064D">
            <w:r>
              <w:t xml:space="preserve">Mobiliteit </w:t>
            </w:r>
          </w:p>
        </w:tc>
        <w:tc>
          <w:tcPr>
            <w:tcW w:w="955" w:type="dxa"/>
            <w:tcBorders>
              <w:top w:val="single" w:sz="12" w:space="0" w:color="auto"/>
              <w:right w:val="single" w:sz="12" w:space="0" w:color="auto"/>
            </w:tcBorders>
            <w:shd w:val="clear" w:color="auto" w:fill="auto"/>
          </w:tcPr>
          <w:p w14:paraId="266A67B2" w14:textId="77777777" w:rsidR="00096F6B" w:rsidRDefault="00096F6B" w:rsidP="00C9064D">
            <w:pPr>
              <w:jc w:val="center"/>
            </w:pPr>
            <w:r>
              <w:t>3</w:t>
            </w:r>
          </w:p>
        </w:tc>
      </w:tr>
      <w:tr w:rsidR="00096F6B" w14:paraId="372143FD" w14:textId="77777777" w:rsidTr="00C9064D">
        <w:tc>
          <w:tcPr>
            <w:tcW w:w="6804" w:type="dxa"/>
            <w:tcBorders>
              <w:left w:val="single" w:sz="12" w:space="0" w:color="auto"/>
            </w:tcBorders>
            <w:shd w:val="clear" w:color="auto" w:fill="auto"/>
          </w:tcPr>
          <w:p w14:paraId="64CAEC7E" w14:textId="77777777" w:rsidR="00096F6B" w:rsidRDefault="00096F6B" w:rsidP="00C9064D">
            <w:r>
              <w:t xml:space="preserve">Kwaliteit </w:t>
            </w:r>
          </w:p>
        </w:tc>
        <w:tc>
          <w:tcPr>
            <w:tcW w:w="955" w:type="dxa"/>
            <w:tcBorders>
              <w:right w:val="single" w:sz="12" w:space="0" w:color="auto"/>
            </w:tcBorders>
            <w:shd w:val="clear" w:color="auto" w:fill="auto"/>
          </w:tcPr>
          <w:p w14:paraId="57DF9343" w14:textId="77777777" w:rsidR="00096F6B" w:rsidRDefault="00096F6B" w:rsidP="00C9064D">
            <w:pPr>
              <w:jc w:val="center"/>
            </w:pPr>
            <w:r>
              <w:t>2</w:t>
            </w:r>
          </w:p>
        </w:tc>
      </w:tr>
      <w:tr w:rsidR="00096F6B" w14:paraId="4EDB9008" w14:textId="77777777" w:rsidTr="00C9064D">
        <w:tc>
          <w:tcPr>
            <w:tcW w:w="6804" w:type="dxa"/>
            <w:tcBorders>
              <w:left w:val="single" w:sz="12" w:space="0" w:color="auto"/>
            </w:tcBorders>
            <w:shd w:val="clear" w:color="auto" w:fill="auto"/>
          </w:tcPr>
          <w:p w14:paraId="123A01CD" w14:textId="77777777" w:rsidR="00096F6B" w:rsidRDefault="00096F6B" w:rsidP="00C9064D">
            <w:r>
              <w:t>Diversiteit</w:t>
            </w:r>
          </w:p>
        </w:tc>
        <w:tc>
          <w:tcPr>
            <w:tcW w:w="955" w:type="dxa"/>
            <w:tcBorders>
              <w:right w:val="single" w:sz="12" w:space="0" w:color="auto"/>
            </w:tcBorders>
            <w:shd w:val="clear" w:color="auto" w:fill="auto"/>
          </w:tcPr>
          <w:p w14:paraId="5663D47C" w14:textId="77777777" w:rsidR="00096F6B" w:rsidRDefault="00096F6B" w:rsidP="00C9064D">
            <w:pPr>
              <w:jc w:val="center"/>
            </w:pPr>
            <w:r>
              <w:t>4</w:t>
            </w:r>
          </w:p>
        </w:tc>
      </w:tr>
      <w:tr w:rsidR="00096F6B" w14:paraId="2A46B0E9" w14:textId="77777777" w:rsidTr="00C9064D">
        <w:tc>
          <w:tcPr>
            <w:tcW w:w="6804" w:type="dxa"/>
            <w:tcBorders>
              <w:left w:val="single" w:sz="12" w:space="0" w:color="auto"/>
              <w:bottom w:val="single" w:sz="12" w:space="0" w:color="auto"/>
            </w:tcBorders>
            <w:shd w:val="clear" w:color="auto" w:fill="auto"/>
          </w:tcPr>
          <w:p w14:paraId="58316DD4" w14:textId="77777777" w:rsidR="00096F6B" w:rsidRDefault="00096F6B" w:rsidP="00C9064D">
            <w:r>
              <w:t>Genderbalans</w:t>
            </w:r>
          </w:p>
        </w:tc>
        <w:tc>
          <w:tcPr>
            <w:tcW w:w="955" w:type="dxa"/>
            <w:tcBorders>
              <w:bottom w:val="single" w:sz="12" w:space="0" w:color="auto"/>
              <w:right w:val="single" w:sz="12" w:space="0" w:color="auto"/>
            </w:tcBorders>
            <w:shd w:val="clear" w:color="auto" w:fill="auto"/>
          </w:tcPr>
          <w:p w14:paraId="7B4F3F92" w14:textId="77777777" w:rsidR="00096F6B" w:rsidRDefault="00096F6B" w:rsidP="00C9064D">
            <w:pPr>
              <w:jc w:val="center"/>
            </w:pPr>
            <w:r>
              <w:t>4</w:t>
            </w:r>
          </w:p>
        </w:tc>
      </w:tr>
      <w:tr w:rsidR="00096F6B" w:rsidRPr="00EA0AA8" w14:paraId="35571664" w14:textId="77777777" w:rsidTr="00C9064D">
        <w:tc>
          <w:tcPr>
            <w:tcW w:w="6804" w:type="dxa"/>
            <w:tcBorders>
              <w:top w:val="single" w:sz="12" w:space="0" w:color="auto"/>
              <w:left w:val="single" w:sz="12" w:space="0" w:color="auto"/>
              <w:bottom w:val="single" w:sz="12" w:space="0" w:color="auto"/>
            </w:tcBorders>
            <w:shd w:val="clear" w:color="auto" w:fill="D0CECE"/>
          </w:tcPr>
          <w:p w14:paraId="74FDB1A2" w14:textId="77777777" w:rsidR="00096F6B" w:rsidRPr="00EA0AA8" w:rsidRDefault="00096F6B" w:rsidP="00C9064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43948FA2" w14:textId="77777777" w:rsidR="00096F6B" w:rsidRPr="00EA0AA8" w:rsidRDefault="00096F6B" w:rsidP="00C9064D">
            <w:pPr>
              <w:jc w:val="center"/>
              <w:rPr>
                <w:b/>
              </w:rPr>
            </w:pPr>
            <w:r>
              <w:rPr>
                <w:b/>
              </w:rPr>
              <w:t>3</w:t>
            </w:r>
          </w:p>
        </w:tc>
      </w:tr>
    </w:tbl>
    <w:p w14:paraId="1374B4A1" w14:textId="77777777" w:rsidR="00102B2B" w:rsidRDefault="00102B2B" w:rsidP="00096F6B"/>
    <w:p w14:paraId="6902BA51" w14:textId="61CA1F0B" w:rsidR="00096F6B" w:rsidRDefault="00096F6B" w:rsidP="00102B2B">
      <w:pPr>
        <w:ind w:firstLine="227"/>
      </w:pPr>
      <w:r w:rsidRPr="00193994">
        <w:t>Verandering</w:t>
      </w:r>
      <w:r>
        <w:t xml:space="preserve"> sinds 2015: neutraal</w:t>
      </w:r>
      <w:r w:rsidRPr="00193994">
        <w:t xml:space="preserve"> = </w:t>
      </w:r>
      <w:r w:rsidRPr="00193994">
        <w:sym w:font="Wingdings" w:char="F0E8"/>
      </w:r>
    </w:p>
    <w:p w14:paraId="2215D199" w14:textId="77777777" w:rsidR="00102B2B" w:rsidRDefault="00102B2B" w:rsidP="00102B2B">
      <w:pPr>
        <w:ind w:firstLine="227"/>
      </w:pPr>
    </w:p>
    <w:p w14:paraId="28B293E9" w14:textId="5A49D50F" w:rsidR="00096F6B" w:rsidRPr="004D372F" w:rsidRDefault="00CC19D4" w:rsidP="00096F6B">
      <w:pPr>
        <w:pStyle w:val="Heading2"/>
        <w:tabs>
          <w:tab w:val="left" w:pos="-1162"/>
          <w:tab w:val="left" w:pos="0"/>
          <w:tab w:val="num" w:pos="1160"/>
        </w:tabs>
        <w:spacing w:line="240" w:lineRule="auto"/>
        <w:ind w:hanging="1162"/>
      </w:pPr>
      <w:bookmarkStart w:id="33" w:name="_Toc491268970"/>
      <w:r>
        <w:t>4</w:t>
      </w:r>
      <w:r w:rsidR="00096F6B">
        <w:t>.7</w:t>
      </w:r>
      <w:r w:rsidR="00096F6B" w:rsidRPr="004D372F">
        <w:t xml:space="preserve"> </w:t>
      </w:r>
      <w:r w:rsidR="00096F6B">
        <w:tab/>
      </w:r>
      <w:r w:rsidR="00096F6B" w:rsidRPr="004D372F">
        <w:t xml:space="preserve">Financiële </w:t>
      </w:r>
      <w:r w:rsidR="00096F6B">
        <w:t>stabiliteit</w:t>
      </w:r>
      <w:bookmarkEnd w:id="33"/>
    </w:p>
    <w:p w14:paraId="65E12D5B" w14:textId="77777777" w:rsidR="00096F6B" w:rsidRPr="0078696B" w:rsidRDefault="00096F6B" w:rsidP="00096F6B">
      <w:pPr>
        <w:rPr>
          <w:szCs w:val="18"/>
        </w:rPr>
      </w:pPr>
      <w:r>
        <w:t xml:space="preserve">Met een omzet van zo’n USD 5 miljard is UNDP de grootste VN-ontwikkelingsorganisatie. De organisatie heeft ruime reserves en kan dus ook als financieel gezond worden beschouwd. De financiële problematiek ligt aan de inkomsten kant. Zoals eerder in paragraaf 2.3 beschreven </w:t>
      </w:r>
      <w:r>
        <w:rPr>
          <w:szCs w:val="18"/>
        </w:rPr>
        <w:t xml:space="preserve">is de verhouding tussen </w:t>
      </w:r>
      <w:r w:rsidRPr="00844CC1">
        <w:rPr>
          <w:i/>
          <w:szCs w:val="18"/>
        </w:rPr>
        <w:t>core</w:t>
      </w:r>
      <w:r>
        <w:rPr>
          <w:szCs w:val="18"/>
        </w:rPr>
        <w:t xml:space="preserve"> en </w:t>
      </w:r>
      <w:r w:rsidRPr="00844CC1">
        <w:rPr>
          <w:i/>
          <w:szCs w:val="18"/>
        </w:rPr>
        <w:t>non-core</w:t>
      </w:r>
      <w:r>
        <w:rPr>
          <w:szCs w:val="18"/>
        </w:rPr>
        <w:t xml:space="preserve"> inkomsten steeds verder in de richting van de laatste verschoven. </w:t>
      </w:r>
      <w:r>
        <w:t xml:space="preserve">Het aantal landen dat </w:t>
      </w:r>
      <w:r w:rsidRPr="00A6126A">
        <w:rPr>
          <w:i/>
        </w:rPr>
        <w:t>core-funding</w:t>
      </w:r>
      <w:r>
        <w:t xml:space="preserve"> bijdraagt stijgt weliswaar nog steeds, maar dat is slechts in de onderste helft van de ranglijst, waarmee de afhankelijkheid van de grootste tien donoren onverminderd groot blijft. De verhouding tussen institutionele - en programma-uitgaven vertoont de afgelopen jaren, mede naar aanleiding van </w:t>
      </w:r>
      <w:r>
        <w:lastRenderedPageBreak/>
        <w:t xml:space="preserve">richtlijnen rond </w:t>
      </w:r>
      <w:r w:rsidRPr="00CC0209">
        <w:rPr>
          <w:i/>
        </w:rPr>
        <w:t>cost recovery</w:t>
      </w:r>
      <w:r>
        <w:t xml:space="preserve"> op </w:t>
      </w:r>
      <w:r w:rsidRPr="00844CC1">
        <w:rPr>
          <w:i/>
        </w:rPr>
        <w:t>non-core</w:t>
      </w:r>
      <w:r>
        <w:t xml:space="preserve"> inkomsten, een gunstige ontwikkeling. Waar voorheen deze managementkosten nog boven de 10% lagen zijn ze inmiddels gedaald naar 8,5%. In 2014 heeft UNDP een nieuwe systematiek voor de </w:t>
      </w:r>
      <w:r w:rsidRPr="0078696B">
        <w:rPr>
          <w:szCs w:val="18"/>
        </w:rPr>
        <w:t>financiering van deze kosten ingevoerd. Afgemeten aan de totale begroting zijn de totale inkomsten goed in balans.</w:t>
      </w:r>
    </w:p>
    <w:p w14:paraId="0A95E27D" w14:textId="77777777" w:rsidR="00096F6B" w:rsidRPr="0078696B" w:rsidRDefault="00096F6B" w:rsidP="00096F6B">
      <w:pPr>
        <w:rPr>
          <w:szCs w:val="18"/>
        </w:rPr>
      </w:pPr>
    </w:p>
    <w:p w14:paraId="331E9480" w14:textId="47A04C23" w:rsidR="00096F6B" w:rsidRPr="0078696B" w:rsidRDefault="00096F6B" w:rsidP="00096F6B">
      <w:pPr>
        <w:rPr>
          <w:szCs w:val="18"/>
        </w:rPr>
      </w:pPr>
      <w:r w:rsidRPr="0078696B">
        <w:rPr>
          <w:szCs w:val="18"/>
        </w:rPr>
        <w:t>De BoA gaf over 201</w:t>
      </w:r>
      <w:r w:rsidR="00563F9B" w:rsidRPr="0078696B">
        <w:rPr>
          <w:szCs w:val="18"/>
        </w:rPr>
        <w:t>6</w:t>
      </w:r>
      <w:r w:rsidRPr="0078696B">
        <w:rPr>
          <w:szCs w:val="18"/>
        </w:rPr>
        <w:t xml:space="preserve"> wederom een goedkeurende verklaring af en constateert dat UNDP financieel gezond is met daarbij de opmerking dat de kwaliteit van financiële overzichten na de introductie van IPSAS in 2012 blijft verbeteren. </w:t>
      </w:r>
      <w:r w:rsidR="00563F9B" w:rsidRPr="0078696B">
        <w:rPr>
          <w:szCs w:val="18"/>
        </w:rPr>
        <w:t>De</w:t>
      </w:r>
      <w:r w:rsidR="00482E21" w:rsidRPr="0078696B">
        <w:rPr>
          <w:szCs w:val="18"/>
        </w:rPr>
        <w:t xml:space="preserve"> totale</w:t>
      </w:r>
      <w:r w:rsidR="00563F9B" w:rsidRPr="0078696B">
        <w:rPr>
          <w:szCs w:val="18"/>
        </w:rPr>
        <w:t xml:space="preserve"> inkomsten waren in 2016 </w:t>
      </w:r>
      <w:r w:rsidR="0078696B">
        <w:rPr>
          <w:szCs w:val="18"/>
        </w:rPr>
        <w:t>USD 5.103 miljoen</w:t>
      </w:r>
      <w:r w:rsidR="00482E21" w:rsidRPr="0078696B">
        <w:rPr>
          <w:szCs w:val="18"/>
        </w:rPr>
        <w:t>, terwijl totale uitgaven USD 4.660 m</w:t>
      </w:r>
      <w:r w:rsidR="0078696B">
        <w:rPr>
          <w:szCs w:val="18"/>
        </w:rPr>
        <w:t>iljoen</w:t>
      </w:r>
      <w:r w:rsidR="00482E21" w:rsidRPr="0078696B">
        <w:rPr>
          <w:szCs w:val="18"/>
        </w:rPr>
        <w:t xml:space="preserve"> bedroegen. Daarmee </w:t>
      </w:r>
      <w:r w:rsidRPr="0078696B">
        <w:rPr>
          <w:szCs w:val="18"/>
        </w:rPr>
        <w:t xml:space="preserve">eindigde UNDP het jaar </w:t>
      </w:r>
      <w:r w:rsidR="00482E21" w:rsidRPr="0078696B">
        <w:rPr>
          <w:szCs w:val="18"/>
        </w:rPr>
        <w:t xml:space="preserve">2016 </w:t>
      </w:r>
      <w:r w:rsidRPr="0078696B">
        <w:rPr>
          <w:szCs w:val="18"/>
        </w:rPr>
        <w:t>met een positieve netto vermogenspositie en een adequate liquiditeitspositie.</w:t>
      </w:r>
    </w:p>
    <w:p w14:paraId="3733CA18" w14:textId="77777777" w:rsidR="00096F6B" w:rsidRPr="0078696B" w:rsidRDefault="00096F6B" w:rsidP="00096F6B">
      <w:pPr>
        <w:rPr>
          <w:szCs w:val="18"/>
        </w:rPr>
      </w:pPr>
    </w:p>
    <w:p w14:paraId="58DCBB28" w14:textId="34A53F4A" w:rsidR="00096F6B" w:rsidRPr="003C22F5" w:rsidRDefault="00096F6B" w:rsidP="00096F6B">
      <w:r w:rsidRPr="0061039A">
        <w:rPr>
          <w:szCs w:val="18"/>
        </w:rPr>
        <w:t xml:space="preserve">De opvolging van de aanbevelingen </w:t>
      </w:r>
      <w:r>
        <w:rPr>
          <w:szCs w:val="18"/>
        </w:rPr>
        <w:t xml:space="preserve">van de BoA laat een wisselend beeld zien. Waar </w:t>
      </w:r>
      <w:r w:rsidRPr="0061039A">
        <w:rPr>
          <w:szCs w:val="18"/>
        </w:rPr>
        <w:t xml:space="preserve">2014 </w:t>
      </w:r>
      <w:r>
        <w:rPr>
          <w:szCs w:val="18"/>
        </w:rPr>
        <w:t xml:space="preserve">een jaar was waarin veel openstaande aanbevelingen zijn opgevolgd, </w:t>
      </w:r>
      <w:r w:rsidRPr="0078696B">
        <w:rPr>
          <w:szCs w:val="18"/>
        </w:rPr>
        <w:t>wa</w:t>
      </w:r>
      <w:r w:rsidR="0078696B" w:rsidRPr="0078696B">
        <w:rPr>
          <w:szCs w:val="18"/>
        </w:rPr>
        <w:t>ren</w:t>
      </w:r>
      <w:r w:rsidRPr="0078696B">
        <w:rPr>
          <w:szCs w:val="18"/>
        </w:rPr>
        <w:t xml:space="preserve"> 2015 </w:t>
      </w:r>
      <w:r w:rsidR="00482E21" w:rsidRPr="0078696B">
        <w:rPr>
          <w:szCs w:val="18"/>
        </w:rPr>
        <w:t>en 2016</w:t>
      </w:r>
      <w:r w:rsidRPr="00482E21">
        <w:rPr>
          <w:szCs w:val="18"/>
        </w:rPr>
        <w:t xml:space="preserve"> </w:t>
      </w:r>
      <w:r>
        <w:rPr>
          <w:szCs w:val="18"/>
        </w:rPr>
        <w:t>een matig jaar.</w:t>
      </w:r>
      <w:r w:rsidRPr="00482E21">
        <w:rPr>
          <w:szCs w:val="18"/>
        </w:rPr>
        <w:t xml:space="preserve"> </w:t>
      </w:r>
      <w:r w:rsidR="0007383E" w:rsidRPr="0078696B">
        <w:rPr>
          <w:szCs w:val="18"/>
        </w:rPr>
        <w:t>Van de 40 openstaande aanbevelingen, is inmiddels 73% volledig opgevolgd.</w:t>
      </w:r>
      <w:r>
        <w:rPr>
          <w:szCs w:val="18"/>
        </w:rPr>
        <w:t xml:space="preserve"> De zorg gaat hierbij uit naar een aantal terugkomende ‘systeem’ aanbevelingen </w:t>
      </w:r>
      <w:r w:rsidRPr="0061039A">
        <w:rPr>
          <w:szCs w:val="18"/>
        </w:rPr>
        <w:t xml:space="preserve">namelijk projectmanagement en beoordeling en monitoring van uitvoerende partners. Dit blijken hardnekkige punten </w:t>
      </w:r>
      <w:r>
        <w:rPr>
          <w:szCs w:val="18"/>
        </w:rPr>
        <w:t xml:space="preserve">waar </w:t>
      </w:r>
      <w:r w:rsidRPr="0061039A">
        <w:rPr>
          <w:szCs w:val="18"/>
        </w:rPr>
        <w:t xml:space="preserve">Nederland </w:t>
      </w:r>
      <w:r>
        <w:rPr>
          <w:szCs w:val="18"/>
        </w:rPr>
        <w:t>tijdens de U</w:t>
      </w:r>
      <w:r w:rsidRPr="0061039A">
        <w:rPr>
          <w:szCs w:val="18"/>
        </w:rPr>
        <w:t xml:space="preserve">itvoerende </w:t>
      </w:r>
      <w:r>
        <w:rPr>
          <w:szCs w:val="18"/>
        </w:rPr>
        <w:t>R</w:t>
      </w:r>
      <w:r w:rsidRPr="0061039A">
        <w:rPr>
          <w:szCs w:val="18"/>
        </w:rPr>
        <w:t>ad</w:t>
      </w:r>
      <w:r>
        <w:rPr>
          <w:szCs w:val="18"/>
        </w:rPr>
        <w:t>en aandacht voor vraagt. Overige aandachtspunten zijn:</w:t>
      </w:r>
      <w:r w:rsidRPr="0075062A">
        <w:rPr>
          <w:szCs w:val="18"/>
        </w:rPr>
        <w:t xml:space="preserve"> consequente toepassing van resultaatgericht management door landenkantoren</w:t>
      </w:r>
      <w:r>
        <w:rPr>
          <w:szCs w:val="18"/>
        </w:rPr>
        <w:t>,</w:t>
      </w:r>
      <w:r w:rsidRPr="0075062A">
        <w:rPr>
          <w:szCs w:val="18"/>
        </w:rPr>
        <w:t xml:space="preserve"> overzicht en monitoring van veldactiviteiten, consequente toepassing van</w:t>
      </w:r>
      <w:r>
        <w:rPr>
          <w:szCs w:val="18"/>
        </w:rPr>
        <w:t xml:space="preserve"> de</w:t>
      </w:r>
      <w:r w:rsidRPr="0075062A">
        <w:rPr>
          <w:szCs w:val="18"/>
        </w:rPr>
        <w:t xml:space="preserve"> </w:t>
      </w:r>
      <w:r w:rsidRPr="00D27E28">
        <w:rPr>
          <w:i/>
          <w:szCs w:val="18"/>
        </w:rPr>
        <w:t>Harmonized Approach to Cash Transfers</w:t>
      </w:r>
      <w:r>
        <w:rPr>
          <w:szCs w:val="18"/>
        </w:rPr>
        <w:t xml:space="preserve"> </w:t>
      </w:r>
      <w:r w:rsidRPr="0075062A">
        <w:rPr>
          <w:szCs w:val="18"/>
        </w:rPr>
        <w:t xml:space="preserve">en fraudegevoeligheid </w:t>
      </w:r>
      <w:r>
        <w:rPr>
          <w:szCs w:val="18"/>
        </w:rPr>
        <w:t xml:space="preserve">van </w:t>
      </w:r>
      <w:r w:rsidRPr="0075062A">
        <w:rPr>
          <w:szCs w:val="18"/>
        </w:rPr>
        <w:t xml:space="preserve">interne ICT systemen. </w:t>
      </w:r>
    </w:p>
    <w:p w14:paraId="2704CF77" w14:textId="77777777" w:rsidR="00096F6B" w:rsidRDefault="00096F6B" w:rsidP="00096F6B">
      <w:pPr>
        <w:autoSpaceDE w:val="0"/>
        <w:autoSpaceDN w:val="0"/>
        <w:adjustRightInd w:val="0"/>
        <w:spacing w:line="240" w:lineRule="auto"/>
        <w:rPr>
          <w:szCs w:val="18"/>
        </w:rPr>
      </w:pPr>
    </w:p>
    <w:p w14:paraId="7E97CB36" w14:textId="77777777" w:rsidR="00096F6B" w:rsidRPr="00811A07" w:rsidRDefault="00096F6B" w:rsidP="00096F6B">
      <w:pPr>
        <w:autoSpaceDE w:val="0"/>
        <w:autoSpaceDN w:val="0"/>
        <w:adjustRightInd w:val="0"/>
        <w:spacing w:line="240" w:lineRule="auto"/>
      </w:pPr>
      <w:r>
        <w:rPr>
          <w:szCs w:val="18"/>
        </w:rPr>
        <w:t>D</w:t>
      </w:r>
      <w:r w:rsidRPr="0075062A">
        <w:rPr>
          <w:szCs w:val="18"/>
        </w:rPr>
        <w:t xml:space="preserve">e </w:t>
      </w:r>
      <w:r>
        <w:rPr>
          <w:szCs w:val="18"/>
        </w:rPr>
        <w:t>BoA</w:t>
      </w:r>
      <w:r w:rsidRPr="0075062A">
        <w:rPr>
          <w:szCs w:val="18"/>
        </w:rPr>
        <w:t xml:space="preserve"> is van mening dat UNDP een gezond systeem voor intern toezicht heeft</w:t>
      </w:r>
      <w:r>
        <w:rPr>
          <w:szCs w:val="18"/>
        </w:rPr>
        <w:t xml:space="preserve"> en dat het senior management nauw betrokken is bij het werk van het Bureau voor Audits en Onderzoek (OAI). Op verzoek van de Uitvoerende Raad, is de capaciteit van het OAI uitgebreid om zo aan de toenemende werklast het hoofd te kunnen bieden. De r</w:t>
      </w:r>
      <w:r>
        <w:t xml:space="preserve">apportages die Nederland ontvangt voldoen over het algemeen aan de eisen en de ervaring leert dat UNDP altijd bereid is om, indien gewenst, aanvullende informatie te geven. </w:t>
      </w:r>
    </w:p>
    <w:p w14:paraId="205BE5A8" w14:textId="77777777" w:rsidR="00096F6B" w:rsidRDefault="00096F6B" w:rsidP="00096F6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0"/>
        <w:gridCol w:w="949"/>
      </w:tblGrid>
      <w:tr w:rsidR="00096F6B" w:rsidRPr="00EA0AA8" w14:paraId="1A2EEFBE" w14:textId="77777777" w:rsidTr="00844CC1">
        <w:tc>
          <w:tcPr>
            <w:tcW w:w="6640" w:type="dxa"/>
            <w:tcBorders>
              <w:top w:val="single" w:sz="12" w:space="0" w:color="auto"/>
              <w:left w:val="single" w:sz="12" w:space="0" w:color="auto"/>
              <w:bottom w:val="single" w:sz="12" w:space="0" w:color="auto"/>
            </w:tcBorders>
            <w:shd w:val="clear" w:color="auto" w:fill="D0CECE"/>
          </w:tcPr>
          <w:p w14:paraId="00862E6F" w14:textId="74F50D75" w:rsidR="00096F6B" w:rsidRPr="00EA0AA8" w:rsidRDefault="00096F6B" w:rsidP="00C9064D">
            <w:pPr>
              <w:rPr>
                <w:b/>
              </w:rPr>
            </w:pPr>
            <w:r w:rsidRPr="00EA0AA8">
              <w:rPr>
                <w:b/>
              </w:rPr>
              <w:t>Onderdeel</w:t>
            </w:r>
          </w:p>
        </w:tc>
        <w:tc>
          <w:tcPr>
            <w:tcW w:w="949" w:type="dxa"/>
            <w:tcBorders>
              <w:top w:val="single" w:sz="12" w:space="0" w:color="auto"/>
              <w:bottom w:val="single" w:sz="12" w:space="0" w:color="auto"/>
              <w:right w:val="single" w:sz="12" w:space="0" w:color="auto"/>
            </w:tcBorders>
            <w:shd w:val="clear" w:color="auto" w:fill="D0CECE"/>
          </w:tcPr>
          <w:p w14:paraId="36B007FB" w14:textId="77777777" w:rsidR="00096F6B" w:rsidRPr="00EA0AA8" w:rsidRDefault="00096F6B" w:rsidP="00C9064D">
            <w:pPr>
              <w:rPr>
                <w:b/>
              </w:rPr>
            </w:pPr>
            <w:r w:rsidRPr="00EA0AA8">
              <w:rPr>
                <w:b/>
              </w:rPr>
              <w:t>Score</w:t>
            </w:r>
          </w:p>
        </w:tc>
      </w:tr>
      <w:tr w:rsidR="00096F6B" w14:paraId="48F7CD83" w14:textId="77777777" w:rsidTr="00844CC1">
        <w:tc>
          <w:tcPr>
            <w:tcW w:w="6640" w:type="dxa"/>
            <w:tcBorders>
              <w:top w:val="single" w:sz="12" w:space="0" w:color="auto"/>
              <w:left w:val="single" w:sz="12" w:space="0" w:color="auto"/>
            </w:tcBorders>
            <w:shd w:val="clear" w:color="auto" w:fill="auto"/>
          </w:tcPr>
          <w:p w14:paraId="15B01CE0" w14:textId="77777777" w:rsidR="00096F6B" w:rsidRDefault="00096F6B" w:rsidP="00C9064D">
            <w:r>
              <w:t>Verhouding goedgekeurde begroting / ontvangen bijdragen</w:t>
            </w:r>
          </w:p>
        </w:tc>
        <w:tc>
          <w:tcPr>
            <w:tcW w:w="949" w:type="dxa"/>
            <w:tcBorders>
              <w:top w:val="single" w:sz="12" w:space="0" w:color="auto"/>
              <w:right w:val="single" w:sz="12" w:space="0" w:color="auto"/>
            </w:tcBorders>
            <w:shd w:val="clear" w:color="auto" w:fill="auto"/>
          </w:tcPr>
          <w:p w14:paraId="2050707A" w14:textId="77777777" w:rsidR="00096F6B" w:rsidRDefault="00096F6B" w:rsidP="00C9064D">
            <w:pPr>
              <w:jc w:val="center"/>
            </w:pPr>
            <w:r>
              <w:t>3</w:t>
            </w:r>
          </w:p>
        </w:tc>
      </w:tr>
      <w:tr w:rsidR="00096F6B" w14:paraId="3683F1D5" w14:textId="77777777" w:rsidTr="00844CC1">
        <w:tc>
          <w:tcPr>
            <w:tcW w:w="6640" w:type="dxa"/>
            <w:tcBorders>
              <w:left w:val="single" w:sz="12" w:space="0" w:color="auto"/>
            </w:tcBorders>
            <w:shd w:val="clear" w:color="auto" w:fill="auto"/>
          </w:tcPr>
          <w:p w14:paraId="65940895" w14:textId="77777777" w:rsidR="00096F6B" w:rsidRDefault="00096F6B" w:rsidP="00C9064D">
            <w:r>
              <w:t>Liquiditeitspositie en/of solvabiliteitspositie</w:t>
            </w:r>
          </w:p>
        </w:tc>
        <w:tc>
          <w:tcPr>
            <w:tcW w:w="949" w:type="dxa"/>
            <w:tcBorders>
              <w:right w:val="single" w:sz="12" w:space="0" w:color="auto"/>
            </w:tcBorders>
            <w:shd w:val="clear" w:color="auto" w:fill="auto"/>
          </w:tcPr>
          <w:p w14:paraId="7B1A2ED7" w14:textId="77777777" w:rsidR="00096F6B" w:rsidRDefault="00096F6B" w:rsidP="00C9064D">
            <w:pPr>
              <w:jc w:val="center"/>
            </w:pPr>
            <w:r>
              <w:t>3</w:t>
            </w:r>
          </w:p>
        </w:tc>
      </w:tr>
      <w:tr w:rsidR="00096F6B" w14:paraId="0F9B289C" w14:textId="77777777" w:rsidTr="00844CC1">
        <w:tc>
          <w:tcPr>
            <w:tcW w:w="6640" w:type="dxa"/>
            <w:tcBorders>
              <w:left w:val="single" w:sz="12" w:space="0" w:color="auto"/>
            </w:tcBorders>
            <w:shd w:val="clear" w:color="auto" w:fill="auto"/>
          </w:tcPr>
          <w:p w14:paraId="7EE13870" w14:textId="77777777" w:rsidR="00096F6B" w:rsidRDefault="00096F6B" w:rsidP="00C9064D">
            <w:r>
              <w:t>Interne auditfunctie</w:t>
            </w:r>
          </w:p>
        </w:tc>
        <w:tc>
          <w:tcPr>
            <w:tcW w:w="949" w:type="dxa"/>
            <w:tcBorders>
              <w:right w:val="single" w:sz="12" w:space="0" w:color="auto"/>
            </w:tcBorders>
            <w:shd w:val="clear" w:color="auto" w:fill="auto"/>
          </w:tcPr>
          <w:p w14:paraId="213F2C82" w14:textId="77777777" w:rsidR="00096F6B" w:rsidRDefault="00096F6B" w:rsidP="00C9064D">
            <w:pPr>
              <w:jc w:val="center"/>
            </w:pPr>
            <w:r>
              <w:t>3</w:t>
            </w:r>
          </w:p>
        </w:tc>
      </w:tr>
      <w:tr w:rsidR="00096F6B" w14:paraId="2394EB71" w14:textId="77777777" w:rsidTr="00844CC1">
        <w:tc>
          <w:tcPr>
            <w:tcW w:w="6640" w:type="dxa"/>
            <w:tcBorders>
              <w:left w:val="single" w:sz="12" w:space="0" w:color="auto"/>
            </w:tcBorders>
            <w:shd w:val="clear" w:color="auto" w:fill="auto"/>
          </w:tcPr>
          <w:p w14:paraId="4E7190AF" w14:textId="77777777" w:rsidR="00096F6B" w:rsidRDefault="00096F6B" w:rsidP="00C9064D">
            <w:r>
              <w:t>Kwaliteit rapportages</w:t>
            </w:r>
          </w:p>
        </w:tc>
        <w:tc>
          <w:tcPr>
            <w:tcW w:w="949" w:type="dxa"/>
            <w:tcBorders>
              <w:right w:val="single" w:sz="12" w:space="0" w:color="auto"/>
            </w:tcBorders>
            <w:shd w:val="clear" w:color="auto" w:fill="auto"/>
          </w:tcPr>
          <w:p w14:paraId="75C86343" w14:textId="77777777" w:rsidR="00096F6B" w:rsidRDefault="00096F6B" w:rsidP="00C9064D">
            <w:pPr>
              <w:jc w:val="center"/>
            </w:pPr>
            <w:r>
              <w:t>3</w:t>
            </w:r>
          </w:p>
        </w:tc>
      </w:tr>
      <w:tr w:rsidR="00096F6B" w14:paraId="6DEB6F7F" w14:textId="77777777" w:rsidTr="00844CC1">
        <w:tc>
          <w:tcPr>
            <w:tcW w:w="6640" w:type="dxa"/>
            <w:tcBorders>
              <w:left w:val="single" w:sz="12" w:space="0" w:color="auto"/>
            </w:tcBorders>
            <w:shd w:val="clear" w:color="auto" w:fill="auto"/>
          </w:tcPr>
          <w:p w14:paraId="23190952" w14:textId="77777777" w:rsidR="00096F6B" w:rsidRDefault="00096F6B" w:rsidP="00C9064D">
            <w:r>
              <w:t>Samenhang tussen inhoudelijke en financiële rapportages</w:t>
            </w:r>
          </w:p>
        </w:tc>
        <w:tc>
          <w:tcPr>
            <w:tcW w:w="949" w:type="dxa"/>
            <w:tcBorders>
              <w:right w:val="single" w:sz="12" w:space="0" w:color="auto"/>
            </w:tcBorders>
            <w:shd w:val="clear" w:color="auto" w:fill="auto"/>
          </w:tcPr>
          <w:p w14:paraId="12875C45" w14:textId="77777777" w:rsidR="00096F6B" w:rsidRDefault="00096F6B" w:rsidP="00C9064D">
            <w:pPr>
              <w:jc w:val="center"/>
            </w:pPr>
            <w:r>
              <w:t>3</w:t>
            </w:r>
          </w:p>
        </w:tc>
      </w:tr>
      <w:tr w:rsidR="00096F6B" w:rsidRPr="00EA0AA8" w14:paraId="72EEB154" w14:textId="77777777" w:rsidTr="00844CC1">
        <w:tc>
          <w:tcPr>
            <w:tcW w:w="6640" w:type="dxa"/>
            <w:tcBorders>
              <w:top w:val="single" w:sz="12" w:space="0" w:color="auto"/>
              <w:left w:val="single" w:sz="12" w:space="0" w:color="auto"/>
              <w:bottom w:val="single" w:sz="12" w:space="0" w:color="auto"/>
            </w:tcBorders>
            <w:shd w:val="clear" w:color="auto" w:fill="D0CECE"/>
          </w:tcPr>
          <w:p w14:paraId="7C215052" w14:textId="77777777" w:rsidR="00096F6B" w:rsidRPr="00EA0AA8" w:rsidRDefault="00096F6B" w:rsidP="00C9064D">
            <w:pPr>
              <w:rPr>
                <w:b/>
              </w:rPr>
            </w:pPr>
            <w:r w:rsidRPr="00F313B0">
              <w:rPr>
                <w:b/>
              </w:rPr>
              <w:t>TOTAAL</w:t>
            </w:r>
          </w:p>
        </w:tc>
        <w:tc>
          <w:tcPr>
            <w:tcW w:w="949" w:type="dxa"/>
            <w:tcBorders>
              <w:top w:val="single" w:sz="12" w:space="0" w:color="auto"/>
              <w:bottom w:val="single" w:sz="12" w:space="0" w:color="auto"/>
              <w:right w:val="single" w:sz="12" w:space="0" w:color="auto"/>
            </w:tcBorders>
            <w:shd w:val="clear" w:color="auto" w:fill="D0CECE"/>
          </w:tcPr>
          <w:p w14:paraId="25135D4A" w14:textId="77777777" w:rsidR="00096F6B" w:rsidRPr="00EA0AA8" w:rsidRDefault="00096F6B" w:rsidP="00C9064D">
            <w:pPr>
              <w:jc w:val="center"/>
              <w:rPr>
                <w:b/>
              </w:rPr>
            </w:pPr>
            <w:r>
              <w:rPr>
                <w:b/>
              </w:rPr>
              <w:t>3</w:t>
            </w:r>
          </w:p>
        </w:tc>
      </w:tr>
    </w:tbl>
    <w:p w14:paraId="02556CF3" w14:textId="77777777" w:rsidR="00102B2B" w:rsidRDefault="00102B2B" w:rsidP="00102B2B">
      <w:pPr>
        <w:ind w:firstLine="227"/>
      </w:pPr>
    </w:p>
    <w:p w14:paraId="4A15CE5D" w14:textId="4D2AE9BA" w:rsidR="00096F6B" w:rsidRDefault="00096F6B" w:rsidP="00102B2B">
      <w:pPr>
        <w:ind w:firstLine="227"/>
      </w:pPr>
      <w:r w:rsidRPr="00193994">
        <w:t>Verandering</w:t>
      </w:r>
      <w:r>
        <w:t xml:space="preserve"> sinds 2015: neutraal</w:t>
      </w:r>
      <w:r w:rsidRPr="00193994">
        <w:t xml:space="preserve"> = </w:t>
      </w:r>
      <w:r w:rsidRPr="00193994">
        <w:sym w:font="Wingdings" w:char="F0E8"/>
      </w:r>
    </w:p>
    <w:p w14:paraId="419AA086" w14:textId="77777777" w:rsidR="00096F6B" w:rsidRDefault="00096F6B" w:rsidP="00096F6B"/>
    <w:p w14:paraId="640D0D3E" w14:textId="7B4F13D1" w:rsidR="00096F6B" w:rsidRDefault="00CC19D4" w:rsidP="00096F6B">
      <w:pPr>
        <w:pStyle w:val="Heading2"/>
        <w:tabs>
          <w:tab w:val="left" w:pos="-1162"/>
          <w:tab w:val="left" w:pos="0"/>
          <w:tab w:val="num" w:pos="1160"/>
        </w:tabs>
        <w:spacing w:line="240" w:lineRule="auto"/>
        <w:ind w:hanging="1162"/>
      </w:pPr>
      <w:bookmarkStart w:id="34" w:name="_Toc491268971"/>
      <w:r>
        <w:t>4</w:t>
      </w:r>
      <w:r w:rsidR="00096F6B">
        <w:t>.8</w:t>
      </w:r>
      <w:r w:rsidR="00096F6B" w:rsidRPr="004D372F">
        <w:t xml:space="preserve"> </w:t>
      </w:r>
      <w:r w:rsidR="00096F6B">
        <w:tab/>
        <w:t>Kosten</w:t>
      </w:r>
      <w:r w:rsidR="00CB2019">
        <w:t>reductie</w:t>
      </w:r>
      <w:bookmarkEnd w:id="34"/>
    </w:p>
    <w:p w14:paraId="63C1F82F" w14:textId="77777777" w:rsidR="00096F6B" w:rsidRDefault="00096F6B" w:rsidP="00096F6B">
      <w:r>
        <w:t xml:space="preserve">UNDP heeft de afgelopen jaren op papier hard gewerkt om de overheadkosten terug te brengen, met wisselend resultaat in de praktijk. Het SP erkent de voorbeeldrol die UNDP hierin heeft richting de andere VN organisaties. </w:t>
      </w:r>
      <w:r w:rsidRPr="00BB3BBC">
        <w:t xml:space="preserve">Het </w:t>
      </w:r>
      <w:r w:rsidRPr="00BB3BBC">
        <w:rPr>
          <w:i/>
        </w:rPr>
        <w:t xml:space="preserve">Integrated Results and Resources Framework </w:t>
      </w:r>
      <w:r w:rsidRPr="00BB3BBC">
        <w:t>heeft indicatoren op efficiëntie, bv. op management</w:t>
      </w:r>
      <w:r>
        <w:t xml:space="preserve">, </w:t>
      </w:r>
      <w:r w:rsidRPr="00BB3BBC">
        <w:t>reiskosten</w:t>
      </w:r>
      <w:r>
        <w:t xml:space="preserve"> en inkoop</w:t>
      </w:r>
      <w:r w:rsidRPr="00BB3BBC">
        <w:t xml:space="preserve">. </w:t>
      </w:r>
      <w:r>
        <w:t xml:space="preserve">De reiskosten is een categorie waar veel zorgen over zijn van donoren, maar ook van de interne auditors. Ook een recente interne audit gaf aan dat er slechts minimaal gebruik wordt gemaakt van kostenbesparende maatregelen en dat het nodig is om het beleid rond dienstreizen aan te passen en in lijn te brengen met andere VN organisaties. In 2014 heeft UNDP USD 251 miljoen uitgegeven aan reizen. Ook de inkoop van goederen laat een soortgelijk beeld zien. </w:t>
      </w:r>
      <w:r>
        <w:lastRenderedPageBreak/>
        <w:t xml:space="preserve">Het percentage overheadkosten is de afgelopen jaren langzaam teruggelopen, van 10.7% in 2010 naar een geplande 8.1% in 2017. Het UNDP Management ontwijkt soms de dialoog met de Uitvoerende Raad over de </w:t>
      </w:r>
      <w:r w:rsidRPr="00A6126A">
        <w:rPr>
          <w:i/>
        </w:rPr>
        <w:t>cost recovery</w:t>
      </w:r>
      <w:r>
        <w:t xml:space="preserve"> structuur. De formeel geplande herziening van dit in 2013 vastgestelde beleid laat nog steeds op zich wachten. </w:t>
      </w:r>
      <w:r>
        <w:rPr>
          <w:rStyle w:val="normaltextrun"/>
          <w:rFonts w:cs="Segoe UI"/>
          <w:szCs w:val="18"/>
        </w:rPr>
        <w:t>UNDP volgt het algemene VN-beleid wat betreft salarissen en secundaire arbeidsvoorwaarden. Dit wordt in de vijfde commissie vastgesteld.</w:t>
      </w:r>
    </w:p>
    <w:p w14:paraId="235B1C29" w14:textId="77777777" w:rsidR="00096F6B" w:rsidRPr="00382AE3" w:rsidRDefault="00096F6B" w:rsidP="00096F6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0"/>
        <w:gridCol w:w="949"/>
      </w:tblGrid>
      <w:tr w:rsidR="00096F6B" w:rsidRPr="00EA0AA8" w14:paraId="68B7A0DF" w14:textId="77777777" w:rsidTr="00C9064D">
        <w:tc>
          <w:tcPr>
            <w:tcW w:w="6804" w:type="dxa"/>
            <w:tcBorders>
              <w:top w:val="single" w:sz="12" w:space="0" w:color="auto"/>
              <w:left w:val="single" w:sz="12" w:space="0" w:color="auto"/>
              <w:bottom w:val="single" w:sz="12" w:space="0" w:color="auto"/>
            </w:tcBorders>
            <w:shd w:val="clear" w:color="auto" w:fill="D0CECE"/>
          </w:tcPr>
          <w:p w14:paraId="795418BF" w14:textId="77777777" w:rsidR="00096F6B" w:rsidRPr="00EA0AA8" w:rsidRDefault="00096F6B" w:rsidP="00C9064D">
            <w:pPr>
              <w:rPr>
                <w:b/>
              </w:rPr>
            </w:pPr>
            <w:r w:rsidRPr="00EA0AA8">
              <w:rPr>
                <w:b/>
              </w:rPr>
              <w:t>Onderdeel</w:t>
            </w:r>
          </w:p>
        </w:tc>
        <w:tc>
          <w:tcPr>
            <w:tcW w:w="955" w:type="dxa"/>
            <w:tcBorders>
              <w:top w:val="single" w:sz="12" w:space="0" w:color="auto"/>
              <w:bottom w:val="single" w:sz="12" w:space="0" w:color="auto"/>
              <w:right w:val="single" w:sz="12" w:space="0" w:color="auto"/>
            </w:tcBorders>
            <w:shd w:val="clear" w:color="auto" w:fill="D0CECE"/>
          </w:tcPr>
          <w:p w14:paraId="2A465F02" w14:textId="77777777" w:rsidR="00096F6B" w:rsidRPr="00EA0AA8" w:rsidRDefault="00096F6B" w:rsidP="00C9064D">
            <w:pPr>
              <w:rPr>
                <w:b/>
              </w:rPr>
            </w:pPr>
            <w:r w:rsidRPr="00EA0AA8">
              <w:rPr>
                <w:b/>
              </w:rPr>
              <w:t>Score</w:t>
            </w:r>
          </w:p>
        </w:tc>
      </w:tr>
      <w:tr w:rsidR="00096F6B" w14:paraId="6E2B7BE9" w14:textId="77777777" w:rsidTr="00C9064D">
        <w:tc>
          <w:tcPr>
            <w:tcW w:w="6804" w:type="dxa"/>
            <w:tcBorders>
              <w:top w:val="single" w:sz="12" w:space="0" w:color="auto"/>
              <w:left w:val="single" w:sz="12" w:space="0" w:color="auto"/>
            </w:tcBorders>
            <w:shd w:val="clear" w:color="auto" w:fill="auto"/>
          </w:tcPr>
          <w:p w14:paraId="67A38059" w14:textId="77777777" w:rsidR="00096F6B" w:rsidRDefault="00096F6B" w:rsidP="00C9064D">
            <w:r>
              <w:t>Verhouding programma-uitgaven/overhead</w:t>
            </w:r>
          </w:p>
        </w:tc>
        <w:tc>
          <w:tcPr>
            <w:tcW w:w="955" w:type="dxa"/>
            <w:tcBorders>
              <w:top w:val="single" w:sz="12" w:space="0" w:color="auto"/>
              <w:right w:val="single" w:sz="12" w:space="0" w:color="auto"/>
            </w:tcBorders>
            <w:shd w:val="clear" w:color="auto" w:fill="auto"/>
          </w:tcPr>
          <w:p w14:paraId="067FC169" w14:textId="77777777" w:rsidR="00096F6B" w:rsidRDefault="00096F6B" w:rsidP="00C9064D">
            <w:pPr>
              <w:jc w:val="center"/>
            </w:pPr>
            <w:r>
              <w:t>3</w:t>
            </w:r>
          </w:p>
        </w:tc>
      </w:tr>
      <w:tr w:rsidR="00096F6B" w14:paraId="7E79355B" w14:textId="77777777" w:rsidTr="00C9064D">
        <w:tc>
          <w:tcPr>
            <w:tcW w:w="6804" w:type="dxa"/>
            <w:tcBorders>
              <w:left w:val="single" w:sz="12" w:space="0" w:color="auto"/>
            </w:tcBorders>
            <w:shd w:val="clear" w:color="auto" w:fill="auto"/>
          </w:tcPr>
          <w:p w14:paraId="153D7E47" w14:textId="77777777" w:rsidR="00096F6B" w:rsidRDefault="00096F6B" w:rsidP="00C9064D">
            <w:r>
              <w:t>Kosteneffectiviteit programma’s</w:t>
            </w:r>
          </w:p>
        </w:tc>
        <w:tc>
          <w:tcPr>
            <w:tcW w:w="955" w:type="dxa"/>
            <w:tcBorders>
              <w:right w:val="single" w:sz="12" w:space="0" w:color="auto"/>
            </w:tcBorders>
            <w:shd w:val="clear" w:color="auto" w:fill="auto"/>
          </w:tcPr>
          <w:p w14:paraId="73221B2B" w14:textId="77777777" w:rsidR="00096F6B" w:rsidRDefault="00096F6B" w:rsidP="00C9064D">
            <w:pPr>
              <w:jc w:val="center"/>
            </w:pPr>
            <w:r>
              <w:t>2</w:t>
            </w:r>
          </w:p>
        </w:tc>
      </w:tr>
      <w:tr w:rsidR="00096F6B" w14:paraId="3F0D1C5A" w14:textId="77777777" w:rsidTr="00C9064D">
        <w:tc>
          <w:tcPr>
            <w:tcW w:w="6804" w:type="dxa"/>
            <w:tcBorders>
              <w:left w:val="single" w:sz="12" w:space="0" w:color="auto"/>
            </w:tcBorders>
            <w:shd w:val="clear" w:color="auto" w:fill="auto"/>
          </w:tcPr>
          <w:p w14:paraId="0B00E444" w14:textId="77777777" w:rsidR="00096F6B" w:rsidRDefault="00096F6B" w:rsidP="00C9064D">
            <w:r>
              <w:t>Versobering salarissen en secundaire arbeidsvoorwaarden</w:t>
            </w:r>
          </w:p>
        </w:tc>
        <w:tc>
          <w:tcPr>
            <w:tcW w:w="955" w:type="dxa"/>
            <w:tcBorders>
              <w:right w:val="single" w:sz="12" w:space="0" w:color="auto"/>
            </w:tcBorders>
            <w:shd w:val="clear" w:color="auto" w:fill="auto"/>
          </w:tcPr>
          <w:p w14:paraId="3C41B016" w14:textId="77777777" w:rsidR="00096F6B" w:rsidRDefault="00096F6B" w:rsidP="00C9064D">
            <w:pPr>
              <w:jc w:val="center"/>
            </w:pPr>
            <w:r>
              <w:t>3</w:t>
            </w:r>
          </w:p>
        </w:tc>
      </w:tr>
      <w:tr w:rsidR="00096F6B" w:rsidRPr="00EA0AA8" w14:paraId="63FB5266" w14:textId="77777777" w:rsidTr="00C9064D">
        <w:tc>
          <w:tcPr>
            <w:tcW w:w="6804" w:type="dxa"/>
            <w:tcBorders>
              <w:top w:val="single" w:sz="12" w:space="0" w:color="auto"/>
              <w:left w:val="single" w:sz="12" w:space="0" w:color="auto"/>
              <w:bottom w:val="single" w:sz="12" w:space="0" w:color="auto"/>
            </w:tcBorders>
            <w:shd w:val="clear" w:color="auto" w:fill="D0CECE"/>
          </w:tcPr>
          <w:p w14:paraId="750572CC" w14:textId="77777777" w:rsidR="00096F6B" w:rsidRPr="00EA0AA8" w:rsidRDefault="00096F6B" w:rsidP="00C9064D">
            <w:pPr>
              <w:rPr>
                <w:b/>
              </w:rPr>
            </w:pPr>
            <w:r w:rsidRPr="00F313B0">
              <w:rPr>
                <w:b/>
              </w:rPr>
              <w:t>TOTAAL</w:t>
            </w:r>
          </w:p>
        </w:tc>
        <w:tc>
          <w:tcPr>
            <w:tcW w:w="955" w:type="dxa"/>
            <w:tcBorders>
              <w:top w:val="single" w:sz="12" w:space="0" w:color="auto"/>
              <w:bottom w:val="single" w:sz="12" w:space="0" w:color="auto"/>
              <w:right w:val="single" w:sz="12" w:space="0" w:color="auto"/>
            </w:tcBorders>
            <w:shd w:val="clear" w:color="auto" w:fill="D0CECE"/>
          </w:tcPr>
          <w:p w14:paraId="6D11EE99" w14:textId="0888A8FB" w:rsidR="00096F6B" w:rsidRPr="00EA0AA8" w:rsidRDefault="00E518B6" w:rsidP="00C9064D">
            <w:pPr>
              <w:jc w:val="center"/>
              <w:rPr>
                <w:b/>
              </w:rPr>
            </w:pPr>
            <w:r>
              <w:rPr>
                <w:b/>
              </w:rPr>
              <w:t>3</w:t>
            </w:r>
          </w:p>
        </w:tc>
      </w:tr>
    </w:tbl>
    <w:p w14:paraId="4042711B" w14:textId="77777777" w:rsidR="00102B2B" w:rsidRDefault="00102B2B" w:rsidP="00096F6B"/>
    <w:p w14:paraId="3B9505C5" w14:textId="3D56A462" w:rsidR="00096F6B" w:rsidRDefault="00096F6B" w:rsidP="00102B2B">
      <w:pPr>
        <w:ind w:firstLine="227"/>
      </w:pPr>
      <w:r w:rsidRPr="00193994">
        <w:t>Verandering</w:t>
      </w:r>
      <w:r>
        <w:t xml:space="preserve"> sinds 2015: neutraal</w:t>
      </w:r>
      <w:r w:rsidRPr="00193994">
        <w:t xml:space="preserve"> = </w:t>
      </w:r>
      <w:r w:rsidRPr="00193994">
        <w:sym w:font="Wingdings" w:char="F0E8"/>
      </w:r>
    </w:p>
    <w:p w14:paraId="3FED1D84" w14:textId="77777777" w:rsidR="00102B2B" w:rsidRDefault="00102B2B" w:rsidP="00102B2B">
      <w:pPr>
        <w:ind w:firstLine="227"/>
      </w:pPr>
    </w:p>
    <w:p w14:paraId="5F0B33ED" w14:textId="74B61CDD" w:rsidR="00096F6B" w:rsidRPr="004D372F" w:rsidRDefault="00CC19D4" w:rsidP="00096F6B">
      <w:pPr>
        <w:pStyle w:val="Heading2"/>
        <w:tabs>
          <w:tab w:val="left" w:pos="-1162"/>
          <w:tab w:val="left" w:pos="0"/>
          <w:tab w:val="num" w:pos="1160"/>
        </w:tabs>
        <w:spacing w:line="240" w:lineRule="auto"/>
        <w:ind w:hanging="1162"/>
      </w:pPr>
      <w:bookmarkStart w:id="35" w:name="_Toc491268972"/>
      <w:r>
        <w:t>4</w:t>
      </w:r>
      <w:r w:rsidR="00096F6B">
        <w:t>.9</w:t>
      </w:r>
      <w:r w:rsidR="00096F6B" w:rsidRPr="004D372F">
        <w:t xml:space="preserve"> </w:t>
      </w:r>
      <w:r w:rsidR="00096F6B">
        <w:tab/>
      </w:r>
      <w:r w:rsidR="00096F6B" w:rsidRPr="004D372F">
        <w:t>Corruptiebestrijding</w:t>
      </w:r>
      <w:bookmarkEnd w:id="35"/>
      <w:r w:rsidR="00096F6B">
        <w:t xml:space="preserve"> </w:t>
      </w:r>
    </w:p>
    <w:p w14:paraId="4BD3F160" w14:textId="77777777" w:rsidR="00096F6B" w:rsidRDefault="00096F6B" w:rsidP="00096F6B">
      <w:r>
        <w:t>UNDP heeft een solide (</w:t>
      </w:r>
      <w:r w:rsidRPr="006C4EB2">
        <w:rPr>
          <w:i/>
        </w:rPr>
        <w:t>zero tolerance</w:t>
      </w:r>
      <w:r>
        <w:t>) anti-fraude en corruptie beleid, een klokkenluidersbeleid en geïntegreerde risicomanagement procedures voor het voorkomen van belangenverstrengeling, het openbaar maken van financiële gegevens en sancties richting verkopers. Er is een Bureau voor Ethiek dat voorlichting, training en advies van en voor medewerkers verzorgt. De trainingen zijn voor alle UNDP werknemers verplicht. Er is e</w:t>
      </w:r>
      <w:r w:rsidRPr="00162FAF">
        <w:t xml:space="preserve">en </w:t>
      </w:r>
      <w:r>
        <w:t>leidraad voor gerechtelijke stappen die gedetailleerd weergeeft hoe managers</w:t>
      </w:r>
      <w:r w:rsidRPr="00162FAF">
        <w:t xml:space="preserve"> en andere stafleden om moeten gaan met integriteitschending</w:t>
      </w:r>
      <w:r>
        <w:t xml:space="preserve">en </w:t>
      </w:r>
      <w:r w:rsidRPr="00162FAF">
        <w:t>als fraude</w:t>
      </w:r>
      <w:r>
        <w:t xml:space="preserve"> en corruptie</w:t>
      </w:r>
      <w:r w:rsidRPr="00162FAF">
        <w:t xml:space="preserve">. </w:t>
      </w:r>
      <w:r>
        <w:t xml:space="preserve">Het Bureau voor Ethiek voert zijn mandaat met duidelijke resultaten uit. </w:t>
      </w:r>
    </w:p>
    <w:p w14:paraId="1CDFC765" w14:textId="77777777" w:rsidR="00096F6B" w:rsidRDefault="00096F6B" w:rsidP="00096F6B"/>
    <w:p w14:paraId="4FF12729" w14:textId="09733FF3" w:rsidR="00096F6B" w:rsidRDefault="00096F6B" w:rsidP="00096F6B">
      <w:r>
        <w:t>Het Bureau voor Audits en Onderzoek (OAI) heeft een risico</w:t>
      </w:r>
      <w:r w:rsidR="00C9064D">
        <w:t xml:space="preserve"> </w:t>
      </w:r>
      <w:r>
        <w:t xml:space="preserve">gestuurd werkplan en streeft naar één audit per landenkantoor per planningscyclus. Het werkplan en de uitvoering daarvan wordt gemonitord door het </w:t>
      </w:r>
      <w:r w:rsidRPr="00844CC1">
        <w:rPr>
          <w:i/>
        </w:rPr>
        <w:t>Audit Advisory Committee</w:t>
      </w:r>
      <w:r>
        <w:t>. Het identificeren van fraude risico’s begint al in de ontwerpfase van de projecten/interventies, waarbij functiescheiding in de financiële processen wordt ingebouwd. Het OAI voert jaarlijks audits uit op gebied van strategische en operationele processen, zowel bij UNDP New York, als op landen- en regionale kantoren. Vanwege de omvangrijke UNDP inzet in com</w:t>
      </w:r>
      <w:r w:rsidR="00485E80">
        <w:t xml:space="preserve">plexe situaties, zoals fragiele staten, </w:t>
      </w:r>
      <w:r>
        <w:t>zijn doelmatigheids</w:t>
      </w:r>
      <w:r w:rsidR="00485E80">
        <w:t>-</w:t>
      </w:r>
      <w:bookmarkStart w:id="36" w:name="_GoBack"/>
      <w:bookmarkEnd w:id="36"/>
      <w:r>
        <w:t xml:space="preserve"> en rechtmatigheidsrisico's groot. Het percentage audits dat een onvoldoende scoorde van projecten die door lokale partners worden uitgevoerd, was voorheen hoog en blijft een aandachtspunt ondanks de aanvullende maatregelen die UNDP heeft genomen (zoals de aanpassing van het programma en project-managementstandaarden). Het gaat er hierbij vooral om, om vooraf (toekomstige) uitvoerende partijen nauwkeuring aan een solide doorlichting te onderwerpen (micro-assessment volgens de HACT-systematiek). In samenwerking met andere organisaties zijn in fragiele staten </w:t>
      </w:r>
      <w:r w:rsidRPr="00D27E28">
        <w:rPr>
          <w:i/>
        </w:rPr>
        <w:t>Risico Management Units</w:t>
      </w:r>
      <w:r>
        <w:t xml:space="preserve"> opgezet. De toenemende aandacht voor resultaatgericht management binnen de organisatie draagt ook bij aan verbetering van risicosignalering, maar het kan zeker in de praktijk nog beter. </w:t>
      </w:r>
    </w:p>
    <w:p w14:paraId="717835F2" w14:textId="77777777" w:rsidR="00096F6B" w:rsidRDefault="00096F6B" w:rsidP="00096F6B"/>
    <w:p w14:paraId="2BBA6DE4" w14:textId="77777777" w:rsidR="00096F6B" w:rsidRDefault="00096F6B" w:rsidP="00096F6B">
      <w:r>
        <w:t xml:space="preserve">Het OAI heeft geen toestemming van het Management om een onderzoek te starten en doet tegenwoordig ook proactief onderzoek (met name in hoge risico gebieden), ook als (nog) geen verdenkingen van fraude of corruptie zijn gerezen. Het OAI rapporteert jaarlijks aan de UR over zijn onderzoek en publiceert, met het oog op transparantie, de maatregelen die zijn genomen. Sinds eind 2012 worden alle interne auditrapporten gepubliceerd. Hierin wordt ook gerapporteerd over geconstateerde fraudezaken en integriteitsschendingen en genomen maatregelen. </w:t>
      </w:r>
      <w:r>
        <w:lastRenderedPageBreak/>
        <w:t xml:space="preserve">De meest recente, VN-brede evaluatie van de inspectiedienst van UNDP komt tot de conclusie dat de dienst in veel gevallen als voorbeeld functie dient voor andere soortgelijke diensten. </w:t>
      </w:r>
    </w:p>
    <w:p w14:paraId="2A1689BD" w14:textId="77777777" w:rsidR="00096F6B" w:rsidRDefault="00096F6B" w:rsidP="00096F6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0"/>
        <w:gridCol w:w="999"/>
      </w:tblGrid>
      <w:tr w:rsidR="00096F6B" w:rsidRPr="00EA0AA8" w14:paraId="5E719201" w14:textId="77777777" w:rsidTr="00C9064D">
        <w:tc>
          <w:tcPr>
            <w:tcW w:w="6804" w:type="dxa"/>
            <w:tcBorders>
              <w:top w:val="single" w:sz="12" w:space="0" w:color="auto"/>
              <w:left w:val="single" w:sz="12" w:space="0" w:color="auto"/>
              <w:bottom w:val="single" w:sz="12" w:space="0" w:color="auto"/>
            </w:tcBorders>
            <w:shd w:val="clear" w:color="auto" w:fill="D0CECE"/>
          </w:tcPr>
          <w:p w14:paraId="3DAEDD32" w14:textId="77777777" w:rsidR="00096F6B" w:rsidRPr="00EA0AA8" w:rsidRDefault="00096F6B" w:rsidP="00C9064D">
            <w:pPr>
              <w:rPr>
                <w:b/>
              </w:rPr>
            </w:pPr>
            <w:r w:rsidRPr="00EA0AA8">
              <w:rPr>
                <w:b/>
              </w:rPr>
              <w:t>Onderdeel</w:t>
            </w:r>
          </w:p>
        </w:tc>
        <w:tc>
          <w:tcPr>
            <w:tcW w:w="1010" w:type="dxa"/>
            <w:tcBorders>
              <w:top w:val="single" w:sz="12" w:space="0" w:color="auto"/>
              <w:bottom w:val="single" w:sz="12" w:space="0" w:color="auto"/>
              <w:right w:val="single" w:sz="12" w:space="0" w:color="auto"/>
            </w:tcBorders>
            <w:shd w:val="clear" w:color="auto" w:fill="D0CECE"/>
          </w:tcPr>
          <w:p w14:paraId="78689037" w14:textId="77777777" w:rsidR="00096F6B" w:rsidRPr="00EA0AA8" w:rsidRDefault="00096F6B" w:rsidP="00C9064D">
            <w:pPr>
              <w:rPr>
                <w:b/>
              </w:rPr>
            </w:pPr>
            <w:r w:rsidRPr="00EA0AA8">
              <w:rPr>
                <w:b/>
              </w:rPr>
              <w:t>Score</w:t>
            </w:r>
          </w:p>
        </w:tc>
      </w:tr>
      <w:tr w:rsidR="00096F6B" w14:paraId="4EF788A4" w14:textId="77777777" w:rsidTr="00C9064D">
        <w:tc>
          <w:tcPr>
            <w:tcW w:w="6804" w:type="dxa"/>
            <w:tcBorders>
              <w:top w:val="single" w:sz="12" w:space="0" w:color="auto"/>
              <w:left w:val="single" w:sz="12" w:space="0" w:color="auto"/>
            </w:tcBorders>
            <w:shd w:val="clear" w:color="auto" w:fill="auto"/>
          </w:tcPr>
          <w:p w14:paraId="45FB0C4D" w14:textId="77777777" w:rsidR="00096F6B" w:rsidRDefault="00096F6B" w:rsidP="00C9064D">
            <w:r>
              <w:t>Maatregelen rechtmatigheidsrisico’s</w:t>
            </w:r>
          </w:p>
        </w:tc>
        <w:tc>
          <w:tcPr>
            <w:tcW w:w="1010" w:type="dxa"/>
            <w:tcBorders>
              <w:top w:val="single" w:sz="12" w:space="0" w:color="auto"/>
              <w:right w:val="single" w:sz="12" w:space="0" w:color="auto"/>
            </w:tcBorders>
            <w:shd w:val="clear" w:color="auto" w:fill="auto"/>
          </w:tcPr>
          <w:p w14:paraId="4B13BAF1" w14:textId="77777777" w:rsidR="00096F6B" w:rsidRDefault="00096F6B" w:rsidP="00C9064D">
            <w:pPr>
              <w:jc w:val="center"/>
            </w:pPr>
            <w:r>
              <w:t>3</w:t>
            </w:r>
          </w:p>
        </w:tc>
      </w:tr>
      <w:tr w:rsidR="00096F6B" w14:paraId="10C9E887" w14:textId="77777777" w:rsidTr="00C9064D">
        <w:tc>
          <w:tcPr>
            <w:tcW w:w="6804" w:type="dxa"/>
            <w:tcBorders>
              <w:left w:val="single" w:sz="12" w:space="0" w:color="auto"/>
            </w:tcBorders>
            <w:shd w:val="clear" w:color="auto" w:fill="auto"/>
          </w:tcPr>
          <w:p w14:paraId="0941D44C" w14:textId="77777777" w:rsidR="00096F6B" w:rsidRDefault="00096F6B" w:rsidP="00C9064D">
            <w:r>
              <w:t>Maatregelen doelmatigheidsrisico’s</w:t>
            </w:r>
          </w:p>
        </w:tc>
        <w:tc>
          <w:tcPr>
            <w:tcW w:w="1010" w:type="dxa"/>
            <w:tcBorders>
              <w:right w:val="single" w:sz="12" w:space="0" w:color="auto"/>
            </w:tcBorders>
            <w:shd w:val="clear" w:color="auto" w:fill="auto"/>
          </w:tcPr>
          <w:p w14:paraId="3D7A1D7C" w14:textId="77777777" w:rsidR="00096F6B" w:rsidRDefault="00096F6B" w:rsidP="00C9064D">
            <w:pPr>
              <w:jc w:val="center"/>
            </w:pPr>
            <w:r>
              <w:t>3</w:t>
            </w:r>
          </w:p>
        </w:tc>
      </w:tr>
      <w:tr w:rsidR="00096F6B" w14:paraId="43C53177" w14:textId="77777777" w:rsidTr="00C9064D">
        <w:tc>
          <w:tcPr>
            <w:tcW w:w="6804" w:type="dxa"/>
            <w:tcBorders>
              <w:left w:val="single" w:sz="12" w:space="0" w:color="auto"/>
            </w:tcBorders>
            <w:shd w:val="clear" w:color="auto" w:fill="auto"/>
          </w:tcPr>
          <w:p w14:paraId="2CEA4BA6" w14:textId="77777777" w:rsidR="00096F6B" w:rsidRDefault="00096F6B" w:rsidP="00C9064D">
            <w:r>
              <w:t xml:space="preserve">Anti-corruptiebeleid </w:t>
            </w:r>
          </w:p>
        </w:tc>
        <w:tc>
          <w:tcPr>
            <w:tcW w:w="1010" w:type="dxa"/>
            <w:tcBorders>
              <w:right w:val="single" w:sz="12" w:space="0" w:color="auto"/>
            </w:tcBorders>
            <w:shd w:val="clear" w:color="auto" w:fill="auto"/>
          </w:tcPr>
          <w:p w14:paraId="3364F985" w14:textId="77777777" w:rsidR="00096F6B" w:rsidRDefault="00096F6B" w:rsidP="00C9064D">
            <w:pPr>
              <w:jc w:val="center"/>
            </w:pPr>
            <w:r>
              <w:t>4</w:t>
            </w:r>
          </w:p>
        </w:tc>
      </w:tr>
      <w:tr w:rsidR="00096F6B" w14:paraId="0645CDD4" w14:textId="77777777" w:rsidTr="00C9064D">
        <w:tc>
          <w:tcPr>
            <w:tcW w:w="6804" w:type="dxa"/>
            <w:tcBorders>
              <w:left w:val="single" w:sz="12" w:space="0" w:color="auto"/>
            </w:tcBorders>
            <w:shd w:val="clear" w:color="auto" w:fill="auto"/>
          </w:tcPr>
          <w:p w14:paraId="7F078D60" w14:textId="77777777" w:rsidR="00096F6B" w:rsidRDefault="00096F6B" w:rsidP="00C9064D">
            <w:r>
              <w:t>Transparantie integriteitsschendingen</w:t>
            </w:r>
          </w:p>
        </w:tc>
        <w:tc>
          <w:tcPr>
            <w:tcW w:w="1010" w:type="dxa"/>
            <w:tcBorders>
              <w:right w:val="single" w:sz="12" w:space="0" w:color="auto"/>
            </w:tcBorders>
            <w:shd w:val="clear" w:color="auto" w:fill="auto"/>
          </w:tcPr>
          <w:p w14:paraId="5FC79256" w14:textId="77777777" w:rsidR="00096F6B" w:rsidRDefault="00096F6B" w:rsidP="00C9064D">
            <w:pPr>
              <w:jc w:val="center"/>
            </w:pPr>
            <w:r>
              <w:t>4</w:t>
            </w:r>
          </w:p>
        </w:tc>
      </w:tr>
      <w:tr w:rsidR="00096F6B" w:rsidRPr="00EA0AA8" w14:paraId="3435B943" w14:textId="77777777" w:rsidTr="00C9064D">
        <w:tc>
          <w:tcPr>
            <w:tcW w:w="6804" w:type="dxa"/>
            <w:tcBorders>
              <w:top w:val="single" w:sz="12" w:space="0" w:color="auto"/>
              <w:left w:val="single" w:sz="12" w:space="0" w:color="auto"/>
              <w:bottom w:val="single" w:sz="12" w:space="0" w:color="auto"/>
            </w:tcBorders>
            <w:shd w:val="clear" w:color="auto" w:fill="D0CECE"/>
          </w:tcPr>
          <w:p w14:paraId="3EF5F6A9" w14:textId="77777777" w:rsidR="00096F6B" w:rsidRPr="00EA0AA8" w:rsidRDefault="00096F6B" w:rsidP="00C9064D">
            <w:pPr>
              <w:rPr>
                <w:b/>
              </w:rPr>
            </w:pPr>
            <w:r w:rsidRPr="00F313B0">
              <w:rPr>
                <w:b/>
              </w:rPr>
              <w:t>TOTAAL</w:t>
            </w:r>
          </w:p>
        </w:tc>
        <w:tc>
          <w:tcPr>
            <w:tcW w:w="1010" w:type="dxa"/>
            <w:tcBorders>
              <w:top w:val="single" w:sz="12" w:space="0" w:color="auto"/>
              <w:bottom w:val="single" w:sz="12" w:space="0" w:color="auto"/>
              <w:right w:val="single" w:sz="12" w:space="0" w:color="auto"/>
            </w:tcBorders>
            <w:shd w:val="clear" w:color="auto" w:fill="D0CECE"/>
          </w:tcPr>
          <w:p w14:paraId="7D049785" w14:textId="77777777" w:rsidR="00096F6B" w:rsidRPr="00EA0AA8" w:rsidRDefault="00096F6B" w:rsidP="00C9064D">
            <w:pPr>
              <w:jc w:val="center"/>
              <w:rPr>
                <w:b/>
              </w:rPr>
            </w:pPr>
            <w:r>
              <w:rPr>
                <w:b/>
              </w:rPr>
              <w:t>3</w:t>
            </w:r>
          </w:p>
        </w:tc>
      </w:tr>
    </w:tbl>
    <w:p w14:paraId="29B37587" w14:textId="77777777" w:rsidR="00102B2B" w:rsidRDefault="00102B2B" w:rsidP="00096F6B"/>
    <w:p w14:paraId="0C110135" w14:textId="3D02A652" w:rsidR="00096F6B" w:rsidRDefault="00096F6B" w:rsidP="00102B2B">
      <w:pPr>
        <w:ind w:firstLine="227"/>
      </w:pPr>
      <w:r w:rsidRPr="00193994">
        <w:t>Verandering</w:t>
      </w:r>
      <w:r>
        <w:t xml:space="preserve"> sinds 2015: neutraal</w:t>
      </w:r>
      <w:r w:rsidRPr="00193994">
        <w:t xml:space="preserve"> = </w:t>
      </w:r>
      <w:r w:rsidRPr="00193994">
        <w:sym w:font="Wingdings" w:char="F0E8"/>
      </w:r>
    </w:p>
    <w:p w14:paraId="0367F4C5" w14:textId="77777777" w:rsidR="00096F6B" w:rsidRDefault="00096F6B" w:rsidP="00096F6B">
      <w:pPr>
        <w:rPr>
          <w:b/>
        </w:rPr>
      </w:pPr>
    </w:p>
    <w:p w14:paraId="4625EAFB" w14:textId="77777777" w:rsidR="00096F6B" w:rsidRDefault="00096F6B" w:rsidP="00096F6B"/>
    <w:p w14:paraId="7246D4EE" w14:textId="309D30A9" w:rsidR="0031751C" w:rsidRDefault="00CC19D4" w:rsidP="00A975DA">
      <w:pPr>
        <w:pStyle w:val="Heading1"/>
        <w:tabs>
          <w:tab w:val="num" w:pos="0"/>
        </w:tabs>
        <w:spacing w:after="240" w:line="240" w:lineRule="auto"/>
        <w:ind w:hanging="1162"/>
      </w:pPr>
      <w:bookmarkStart w:id="37" w:name="_Toc491268973"/>
      <w:r>
        <w:lastRenderedPageBreak/>
        <w:t>5</w:t>
      </w:r>
      <w:r w:rsidR="004D372F">
        <w:t xml:space="preserve"> </w:t>
      </w:r>
      <w:r w:rsidR="004D372F">
        <w:tab/>
      </w:r>
      <w:r w:rsidR="008409AE">
        <w:t>R</w:t>
      </w:r>
      <w:r w:rsidR="009534EF">
        <w:t>elevantie van de organisatie</w:t>
      </w:r>
      <w:bookmarkEnd w:id="37"/>
    </w:p>
    <w:p w14:paraId="19607FCA" w14:textId="07E70600" w:rsidR="00FC5001" w:rsidRDefault="00FC5001" w:rsidP="00FC5001">
      <w:r>
        <w:t>Dit hoofdstuk behandelt de relevantie van de organisatie voor de Nederlandse BHOS-prioriteiten. Hierbij wordt een driedeling gemaakt: een organisatie is relevant voor een BHOS-thema indien van direct belang voor een beleidsonderwerp, een organisatie is beperkt relevant als hij deels of indirect van belang is voor het beleidsonderwerp of een organisatie is niet relevant als hij niet van belang is voor het beleidsonderwerp. Ten aanzien van het thema gender geldt dat een organisatie ook als relevant is aangemerkt wanneer het gender in substantiële mate toepast als dwarsdoorsnijdend thema. Het presteren van de organisatie op de relevante thema’s wordt vervolgens gescoord op uitvoerende, normerende of coördinerende activiteiten op dat thema.</w:t>
      </w:r>
    </w:p>
    <w:p w14:paraId="44DDE7C5" w14:textId="77777777" w:rsidR="00356075" w:rsidRPr="00FC5001" w:rsidRDefault="00356075" w:rsidP="00FC5001"/>
    <w:p w14:paraId="2062F4AD" w14:textId="5AF568C1" w:rsidR="00A50264" w:rsidRPr="00356075" w:rsidRDefault="00CC19D4" w:rsidP="00356075">
      <w:pPr>
        <w:pStyle w:val="Heading2"/>
        <w:tabs>
          <w:tab w:val="left" w:pos="-1162"/>
          <w:tab w:val="left" w:pos="0"/>
        </w:tabs>
        <w:spacing w:line="240" w:lineRule="auto"/>
        <w:ind w:hanging="1134"/>
      </w:pPr>
      <w:bookmarkStart w:id="38" w:name="_Toc491268974"/>
      <w:r>
        <w:t>5</w:t>
      </w:r>
      <w:r w:rsidR="0027051F">
        <w:t xml:space="preserve">.1 </w:t>
      </w:r>
      <w:r w:rsidR="0008255C">
        <w:tab/>
      </w:r>
      <w:r w:rsidR="0027051F">
        <w:t>Relevantie voor Nederlandse BHOS-prioriteiten</w:t>
      </w:r>
      <w:bookmarkEnd w:id="38"/>
    </w:p>
    <w:p w14:paraId="0F2053FB" w14:textId="3D2DC81E" w:rsidR="00096F6B" w:rsidRDefault="008B720C" w:rsidP="00F02A89">
      <w:r w:rsidRPr="00F02A89">
        <w:rPr>
          <w:u w:val="single"/>
        </w:rPr>
        <w:t xml:space="preserve">Veiligheid en </w:t>
      </w:r>
      <w:r w:rsidR="00CB2019">
        <w:rPr>
          <w:u w:val="single"/>
        </w:rPr>
        <w:t>r</w:t>
      </w:r>
      <w:r w:rsidRPr="00F02A89">
        <w:rPr>
          <w:u w:val="single"/>
        </w:rPr>
        <w:t>echtsorde</w:t>
      </w:r>
      <w:r w:rsidR="00096F6B">
        <w:t xml:space="preserve"> </w:t>
      </w:r>
    </w:p>
    <w:p w14:paraId="7246D4F8" w14:textId="0CCB583A" w:rsidR="00A975DA" w:rsidRPr="00F02A89" w:rsidRDefault="0093791F" w:rsidP="00F02A89">
      <w:pPr>
        <w:rPr>
          <w:i/>
        </w:rPr>
      </w:pPr>
      <w:r>
        <w:rPr>
          <w:i/>
        </w:rPr>
        <w:t>Relevant</w:t>
      </w:r>
      <w:r w:rsidR="00096F6B">
        <w:rPr>
          <w:i/>
        </w:rPr>
        <w:t xml:space="preserve">. </w:t>
      </w:r>
      <w:r w:rsidR="00A975DA">
        <w:t xml:space="preserve">De organisatie </w:t>
      </w:r>
      <w:r w:rsidR="00A975DA" w:rsidRPr="00D27E28">
        <w:t xml:space="preserve">heeft door een </w:t>
      </w:r>
      <w:r w:rsidR="00A975DA">
        <w:t xml:space="preserve">neutrale, </w:t>
      </w:r>
      <w:r w:rsidR="00A975DA" w:rsidRPr="00D27E28">
        <w:t xml:space="preserve">onpartijdige opstelling, relevante deskundigheid en substantiële financiële middelen vaak </w:t>
      </w:r>
      <w:r w:rsidR="00A975DA">
        <w:t xml:space="preserve">goede relaties met de overheden in de landen waar gewerkt wordt. Hierdoor kan UNDP een </w:t>
      </w:r>
      <w:r w:rsidR="00A975DA" w:rsidRPr="00D27E28">
        <w:t xml:space="preserve">rol vervullen op het gebied van wederopbouw van bestuur, justitie, politie en maatschappelijk middenveld. </w:t>
      </w:r>
      <w:r w:rsidR="00A975DA">
        <w:t xml:space="preserve">Goede voorbeelden hiervan zijn </w:t>
      </w:r>
      <w:r w:rsidR="00A975DA" w:rsidRPr="00D27E28">
        <w:t>(post) conflictsituaties zoals in de C</w:t>
      </w:r>
      <w:r w:rsidR="00A975DA">
        <w:t>entrale Afrikaanse Republiek</w:t>
      </w:r>
      <w:r w:rsidR="00A975DA" w:rsidRPr="00D27E28">
        <w:t>, Zuid Sudan, Afghanistan</w:t>
      </w:r>
      <w:r w:rsidR="00A975DA">
        <w:t xml:space="preserve"> en </w:t>
      </w:r>
      <w:r w:rsidR="00A975DA" w:rsidRPr="00D27E28">
        <w:t>de Palestijnse gebieden. In het strategische plan 2014 – 2017 komt de inzet op veiligheid en rechtsorde onder 4</w:t>
      </w:r>
      <w:r w:rsidR="006C7B49">
        <w:t xml:space="preserve"> van 6 resultaatgebieden terug.</w:t>
      </w:r>
    </w:p>
    <w:p w14:paraId="7246D4F9" w14:textId="77777777" w:rsidR="00A975DA" w:rsidRPr="000B62D7" w:rsidRDefault="00A975DA" w:rsidP="006E6384">
      <w:pPr>
        <w:ind w:left="-360"/>
      </w:pPr>
    </w:p>
    <w:p w14:paraId="5E722E4F" w14:textId="77777777" w:rsidR="00096F6B" w:rsidRDefault="008B720C" w:rsidP="00F02A89">
      <w:r w:rsidRPr="00F02A89">
        <w:rPr>
          <w:u w:val="single"/>
        </w:rPr>
        <w:t xml:space="preserve">Seksuele </w:t>
      </w:r>
      <w:r w:rsidR="006E6384" w:rsidRPr="00F02A89">
        <w:rPr>
          <w:u w:val="single"/>
        </w:rPr>
        <w:t>&amp;</w:t>
      </w:r>
      <w:r w:rsidRPr="00F02A89">
        <w:rPr>
          <w:u w:val="single"/>
        </w:rPr>
        <w:t xml:space="preserve"> Reproductieve Gezondheid </w:t>
      </w:r>
      <w:r w:rsidR="006E6384" w:rsidRPr="00F02A89">
        <w:rPr>
          <w:u w:val="single"/>
        </w:rPr>
        <w:t>&amp;</w:t>
      </w:r>
      <w:r w:rsidRPr="00F02A89">
        <w:rPr>
          <w:u w:val="single"/>
        </w:rPr>
        <w:t xml:space="preserve"> Rechten, incl</w:t>
      </w:r>
      <w:r w:rsidR="006E6384" w:rsidRPr="00F02A89">
        <w:rPr>
          <w:u w:val="single"/>
        </w:rPr>
        <w:t>.</w:t>
      </w:r>
      <w:r w:rsidRPr="00F02A89">
        <w:rPr>
          <w:u w:val="single"/>
        </w:rPr>
        <w:t xml:space="preserve"> </w:t>
      </w:r>
      <w:r w:rsidR="00DE345F" w:rsidRPr="00F02A89">
        <w:rPr>
          <w:u w:val="single"/>
        </w:rPr>
        <w:t>HIV/</w:t>
      </w:r>
      <w:r w:rsidR="00DE345F" w:rsidRPr="00E54D4D">
        <w:rPr>
          <w:u w:val="single"/>
        </w:rPr>
        <w:t>Aids</w:t>
      </w:r>
      <w:r w:rsidR="00096F6B">
        <w:t xml:space="preserve"> </w:t>
      </w:r>
    </w:p>
    <w:p w14:paraId="7246D4FB" w14:textId="53A497B6" w:rsidR="006E6384" w:rsidRPr="00F02A89" w:rsidRDefault="0093791F" w:rsidP="00F02A89">
      <w:pPr>
        <w:rPr>
          <w:i/>
        </w:rPr>
      </w:pPr>
      <w:r>
        <w:rPr>
          <w:i/>
        </w:rPr>
        <w:t>Relevant</w:t>
      </w:r>
      <w:r w:rsidR="00096F6B">
        <w:rPr>
          <w:i/>
        </w:rPr>
        <w:t xml:space="preserve">. </w:t>
      </w:r>
      <w:r w:rsidR="00844CC1">
        <w:t>UNDP is een co</w:t>
      </w:r>
      <w:r w:rsidR="000B62D7" w:rsidRPr="0093791F">
        <w:t xml:space="preserve">sponsor van UNAIDS en beheert voor het </w:t>
      </w:r>
      <w:r w:rsidR="000B62D7" w:rsidRPr="00844CC1">
        <w:rPr>
          <w:i/>
        </w:rPr>
        <w:t>Global Fund to Fight Aids, Tuberculosis and Malaria</w:t>
      </w:r>
      <w:r w:rsidR="000B62D7" w:rsidRPr="0093791F">
        <w:t xml:space="preserve"> (GFATM) </w:t>
      </w:r>
      <w:r w:rsidR="00DE345F" w:rsidRPr="0093791F">
        <w:t xml:space="preserve">een aantal </w:t>
      </w:r>
      <w:r w:rsidR="00596655" w:rsidRPr="0093791F">
        <w:t>programma’s.</w:t>
      </w:r>
    </w:p>
    <w:p w14:paraId="7246D4FC" w14:textId="77777777" w:rsidR="006E6384" w:rsidRDefault="006E6384" w:rsidP="006E6384">
      <w:pPr>
        <w:pStyle w:val="ListParagraph"/>
        <w:ind w:left="-360"/>
      </w:pPr>
    </w:p>
    <w:p w14:paraId="07CB96DC" w14:textId="77777777" w:rsidR="00096F6B" w:rsidRDefault="008B720C" w:rsidP="00F02A89">
      <w:pPr>
        <w:rPr>
          <w:u w:val="single"/>
        </w:rPr>
      </w:pPr>
      <w:r w:rsidRPr="00F02A89">
        <w:rPr>
          <w:u w:val="single"/>
        </w:rPr>
        <w:t>Gendergelijkheid</w:t>
      </w:r>
    </w:p>
    <w:p w14:paraId="7246D4FE" w14:textId="11969DCD" w:rsidR="003B3F6F" w:rsidRPr="00F02A89" w:rsidRDefault="0093791F" w:rsidP="00F02A89">
      <w:pPr>
        <w:rPr>
          <w:i/>
        </w:rPr>
      </w:pPr>
      <w:r>
        <w:rPr>
          <w:i/>
        </w:rPr>
        <w:t>Relevant</w:t>
      </w:r>
      <w:r w:rsidR="00096F6B">
        <w:rPr>
          <w:i/>
        </w:rPr>
        <w:t xml:space="preserve">. </w:t>
      </w:r>
      <w:r w:rsidR="006E6384" w:rsidRPr="00D27E28">
        <w:t xml:space="preserve">In het </w:t>
      </w:r>
      <w:r w:rsidR="005E1F2E">
        <w:t xml:space="preserve">huidige </w:t>
      </w:r>
      <w:r w:rsidR="006E6384" w:rsidRPr="00D27E28">
        <w:t>Strategische Plan wordt ruimschoots aandacht geschonken aan het bevorderen van gendergelijkheid</w:t>
      </w:r>
      <w:r w:rsidR="005E1F2E">
        <w:t>. Dit is een logisch gevolg van de aanz</w:t>
      </w:r>
      <w:r w:rsidR="006E6384" w:rsidRPr="00D27E28">
        <w:t>ienlijke vooruitgang in gender mainstreaming</w:t>
      </w:r>
      <w:r w:rsidR="005E1F2E">
        <w:t xml:space="preserve"> in de jaren ervoor. VN-breed speelt </w:t>
      </w:r>
      <w:r w:rsidR="006E6384" w:rsidRPr="00D27E28">
        <w:t xml:space="preserve">UNDP een rol bij het opnemen van gender in UNDAF’s en het coördineren van genderactiviteiten in VN-landenteams. UNDP heeft een uitgewerkt genderbeleid voor de periode 2014 – 2017 dat de inzet van personeel en financiële middelen beschrijft en duidelijke streefcijfers formuleert. </w:t>
      </w:r>
    </w:p>
    <w:p w14:paraId="7246D4FF" w14:textId="77777777" w:rsidR="003B3F6F" w:rsidRDefault="003B3F6F" w:rsidP="003B3F6F">
      <w:pPr>
        <w:pStyle w:val="ListParagraph"/>
        <w:ind w:left="360"/>
      </w:pPr>
    </w:p>
    <w:p w14:paraId="743DF535" w14:textId="4AE5BD1B" w:rsidR="00096F6B" w:rsidRDefault="00CC3C45" w:rsidP="00F02A89">
      <w:r w:rsidRPr="00F02A89">
        <w:rPr>
          <w:u w:val="single"/>
        </w:rPr>
        <w:t>Klimaat</w:t>
      </w:r>
      <w:r w:rsidR="0093791F">
        <w:t xml:space="preserve"> </w:t>
      </w:r>
    </w:p>
    <w:p w14:paraId="7246D501" w14:textId="096D46D5" w:rsidR="007F2D50" w:rsidRDefault="0093791F" w:rsidP="00F02A89">
      <w:pPr>
        <w:rPr>
          <w:color w:val="000000"/>
        </w:rPr>
      </w:pPr>
      <w:r>
        <w:rPr>
          <w:i/>
        </w:rPr>
        <w:t>Relevant</w:t>
      </w:r>
      <w:r w:rsidR="00096F6B">
        <w:rPr>
          <w:i/>
        </w:rPr>
        <w:t xml:space="preserve">. </w:t>
      </w:r>
      <w:r w:rsidR="00FF227C">
        <w:t xml:space="preserve">Duurzame ontwikkeling heeft altijd centraal gestaan binnen UNDP en ook in het Strategische Plan 2014-2017 is het een prioriteit. Beleidsmatig dateert de klimaatstrategie uit </w:t>
      </w:r>
      <w:r w:rsidR="00CC3C45">
        <w:t>2011</w:t>
      </w:r>
      <w:r w:rsidR="00FF227C">
        <w:t>. U</w:t>
      </w:r>
      <w:r w:rsidR="00CC3C45">
        <w:t>NDP dr</w:t>
      </w:r>
      <w:r w:rsidR="00FF227C">
        <w:t>aagt</w:t>
      </w:r>
      <w:r w:rsidR="00CC3C45">
        <w:t xml:space="preserve"> bij aan aandacht voor klimaatverandering in armoedestrategieën en nationale ontwikkelingsplannen. </w:t>
      </w:r>
      <w:r w:rsidR="00FF227C">
        <w:t xml:space="preserve">Binnen het VN-systeem is UNDP op dit thema financieel gezien een grote speler. </w:t>
      </w:r>
      <w:r w:rsidR="00CC3C45">
        <w:t xml:space="preserve">UNDP </w:t>
      </w:r>
      <w:r w:rsidR="00FF227C">
        <w:t xml:space="preserve">werkt met een </w:t>
      </w:r>
      <w:r w:rsidR="00CC3C45">
        <w:t>100</w:t>
      </w:r>
      <w:r w:rsidR="00FF227C">
        <w:t>tal</w:t>
      </w:r>
      <w:r w:rsidR="00CC3C45">
        <w:t xml:space="preserve"> landen aan hernieuwbare energie en efficiënt energiegebruik</w:t>
      </w:r>
      <w:r w:rsidR="00FF227C">
        <w:t xml:space="preserve"> en </w:t>
      </w:r>
      <w:r w:rsidR="00CC3C45">
        <w:t xml:space="preserve">aan rampenrisicovermindering. </w:t>
      </w:r>
      <w:r w:rsidR="00CC3C45" w:rsidRPr="00F02A89">
        <w:rPr>
          <w:color w:val="000000"/>
        </w:rPr>
        <w:t xml:space="preserve">UNDP </w:t>
      </w:r>
      <w:r w:rsidR="00FF227C" w:rsidRPr="00F02A89">
        <w:rPr>
          <w:color w:val="000000"/>
        </w:rPr>
        <w:t xml:space="preserve">is de grootste uitvoerder binnen </w:t>
      </w:r>
      <w:r w:rsidR="00CC3C45" w:rsidRPr="00F02A89">
        <w:rPr>
          <w:color w:val="000000"/>
        </w:rPr>
        <w:t xml:space="preserve">de </w:t>
      </w:r>
      <w:r w:rsidR="00CC3C45" w:rsidRPr="00844CC1">
        <w:rPr>
          <w:i/>
          <w:color w:val="000000"/>
        </w:rPr>
        <w:t>Global Environmental Facility</w:t>
      </w:r>
      <w:r>
        <w:rPr>
          <w:color w:val="000000"/>
        </w:rPr>
        <w:t xml:space="preserve"> (GEF). </w:t>
      </w:r>
      <w:r w:rsidR="00CC3C45" w:rsidRPr="00F02A89">
        <w:rPr>
          <w:color w:val="000000"/>
        </w:rPr>
        <w:t xml:space="preserve">UNDP traint met GEF-fondsen ontwikkelingslanden voor </w:t>
      </w:r>
      <w:r w:rsidR="00CC3C45" w:rsidRPr="00844CC1">
        <w:rPr>
          <w:i/>
          <w:color w:val="000000"/>
        </w:rPr>
        <w:t>Natio</w:t>
      </w:r>
      <w:r w:rsidR="00FF227C" w:rsidRPr="00844CC1">
        <w:rPr>
          <w:i/>
          <w:color w:val="000000"/>
        </w:rPr>
        <w:t>nal Adaptation Plans Process</w:t>
      </w:r>
      <w:r w:rsidR="00844CC1">
        <w:rPr>
          <w:i/>
          <w:color w:val="000000"/>
        </w:rPr>
        <w:t>es</w:t>
      </w:r>
      <w:r w:rsidR="00FF227C" w:rsidRPr="00F02A89">
        <w:rPr>
          <w:color w:val="000000"/>
        </w:rPr>
        <w:t>.</w:t>
      </w:r>
    </w:p>
    <w:p w14:paraId="45E6AF2C" w14:textId="77777777" w:rsidR="00165D0A" w:rsidRDefault="00165D0A" w:rsidP="00165D0A">
      <w:pPr>
        <w:rPr>
          <w:u w:val="single"/>
        </w:rPr>
      </w:pPr>
    </w:p>
    <w:p w14:paraId="5A83BF4A" w14:textId="77777777" w:rsidR="00096F6B" w:rsidRDefault="00165D0A" w:rsidP="00165D0A">
      <w:r w:rsidRPr="00F02A89">
        <w:rPr>
          <w:u w:val="single"/>
        </w:rPr>
        <w:t>Voedselzekerheid</w:t>
      </w:r>
      <w:r w:rsidR="00096F6B">
        <w:t xml:space="preserve"> </w:t>
      </w:r>
    </w:p>
    <w:p w14:paraId="0A2A0528" w14:textId="389E2EC1" w:rsidR="00165D0A" w:rsidRPr="00F02A89" w:rsidRDefault="00165D0A" w:rsidP="00165D0A">
      <w:pPr>
        <w:rPr>
          <w:i/>
        </w:rPr>
      </w:pPr>
      <w:r w:rsidRPr="00F02A89">
        <w:rPr>
          <w:i/>
        </w:rPr>
        <w:t>Beperkt relevant</w:t>
      </w:r>
      <w:r w:rsidR="00096F6B">
        <w:rPr>
          <w:i/>
        </w:rPr>
        <w:t xml:space="preserve">. </w:t>
      </w:r>
      <w:r w:rsidRPr="00AB18F0">
        <w:t xml:space="preserve">UNDP draagt indirect bij door het tegengaan van landdegradatie met fondsen van de </w:t>
      </w:r>
      <w:r w:rsidRPr="00F02A89">
        <w:rPr>
          <w:i/>
        </w:rPr>
        <w:t>Global Environmental Facility (GEF)</w:t>
      </w:r>
      <w:r w:rsidRPr="00AB18F0">
        <w:t xml:space="preserve"> en via wederopbouw activiteiten op het platteland.</w:t>
      </w:r>
    </w:p>
    <w:p w14:paraId="09147659" w14:textId="77777777" w:rsidR="00165D0A" w:rsidRDefault="00165D0A" w:rsidP="00165D0A">
      <w:pPr>
        <w:ind w:left="-360"/>
      </w:pPr>
    </w:p>
    <w:p w14:paraId="785C8B6B" w14:textId="77777777" w:rsidR="00096F6B" w:rsidRDefault="00165D0A" w:rsidP="00165D0A">
      <w:pPr>
        <w:rPr>
          <w:u w:val="single"/>
        </w:rPr>
      </w:pPr>
      <w:r w:rsidRPr="00F02A89">
        <w:rPr>
          <w:u w:val="single"/>
        </w:rPr>
        <w:lastRenderedPageBreak/>
        <w:t>Water</w:t>
      </w:r>
    </w:p>
    <w:p w14:paraId="17A9FBED" w14:textId="2E8D6AE4" w:rsidR="00165D0A" w:rsidRPr="006E6384" w:rsidRDefault="00165D0A" w:rsidP="00165D0A">
      <w:pPr>
        <w:rPr>
          <w:color w:val="000000"/>
        </w:rPr>
      </w:pPr>
      <w:r w:rsidRPr="00F02A89">
        <w:rPr>
          <w:i/>
        </w:rPr>
        <w:t>Beperkt relevant</w:t>
      </w:r>
      <w:r w:rsidR="00096F6B">
        <w:rPr>
          <w:i/>
        </w:rPr>
        <w:t xml:space="preserve">. </w:t>
      </w:r>
      <w:r w:rsidRPr="00D27E28">
        <w:t xml:space="preserve">UNDP is </w:t>
      </w:r>
      <w:r w:rsidRPr="006E6384">
        <w:rPr>
          <w:color w:val="000000"/>
        </w:rPr>
        <w:t xml:space="preserve">actief lid van UN Water en werkt ook aan risicovermindering van (natuur) rampen. </w:t>
      </w:r>
    </w:p>
    <w:p w14:paraId="734942BA" w14:textId="21B282FF" w:rsidR="00CB2019" w:rsidRDefault="00CB2019" w:rsidP="00F02A89">
      <w:pPr>
        <w:rPr>
          <w:u w:val="single"/>
        </w:rPr>
      </w:pPr>
    </w:p>
    <w:p w14:paraId="485DE550" w14:textId="00CFC3AC" w:rsidR="00096F6B" w:rsidRDefault="00096F6B" w:rsidP="00F02A89">
      <w:pPr>
        <w:rPr>
          <w:u w:val="single"/>
        </w:rPr>
      </w:pPr>
      <w:r>
        <w:rPr>
          <w:u w:val="single"/>
        </w:rPr>
        <w:t xml:space="preserve">Private </w:t>
      </w:r>
      <w:r w:rsidR="00CB2019">
        <w:rPr>
          <w:u w:val="single"/>
        </w:rPr>
        <w:t>s</w:t>
      </w:r>
      <w:r>
        <w:rPr>
          <w:u w:val="single"/>
        </w:rPr>
        <w:t xml:space="preserve">ector </w:t>
      </w:r>
      <w:r w:rsidR="00CB2019">
        <w:rPr>
          <w:u w:val="single"/>
        </w:rPr>
        <w:t>ontwikkeling</w:t>
      </w:r>
    </w:p>
    <w:p w14:paraId="7246D504" w14:textId="73E216BF" w:rsidR="00C87B87" w:rsidRDefault="007F2D50" w:rsidP="00F02A89">
      <w:r w:rsidRPr="00F02A89">
        <w:rPr>
          <w:i/>
        </w:rPr>
        <w:t>Beperkt relevant</w:t>
      </w:r>
      <w:r w:rsidR="00096F6B">
        <w:rPr>
          <w:i/>
        </w:rPr>
        <w:t xml:space="preserve">. </w:t>
      </w:r>
      <w:r>
        <w:t>UNDP’s Centrum voor Private Sector en Ontwikkeling werkt aan grotere betrokkenheid van bedrijven bij ontwikkeling, ondernemerschap en uitvoering van de SDG’s in ontwikkelingslanden</w:t>
      </w:r>
    </w:p>
    <w:p w14:paraId="7246D505" w14:textId="77777777" w:rsidR="00B426F7" w:rsidRDefault="00B426F7" w:rsidP="00C87B87">
      <w:pPr>
        <w:pStyle w:val="ListParagraph"/>
        <w:ind w:left="426"/>
      </w:pPr>
    </w:p>
    <w:p w14:paraId="2C1AB1E8" w14:textId="77777777" w:rsidR="00096F6B" w:rsidRDefault="008B720C" w:rsidP="00F02A89">
      <w:r w:rsidRPr="00F02A89">
        <w:rPr>
          <w:u w:val="single"/>
        </w:rPr>
        <w:t>Humanitaire hulp</w:t>
      </w:r>
      <w:r w:rsidR="0093791F">
        <w:t xml:space="preserve"> </w:t>
      </w:r>
    </w:p>
    <w:p w14:paraId="7246D507" w14:textId="3904684D" w:rsidR="00C575E6" w:rsidRPr="00F02A89" w:rsidRDefault="00C87B87" w:rsidP="00F02A89">
      <w:pPr>
        <w:rPr>
          <w:i/>
        </w:rPr>
      </w:pPr>
      <w:r w:rsidRPr="00F02A89">
        <w:rPr>
          <w:i/>
        </w:rPr>
        <w:t>Beperkt relevant</w:t>
      </w:r>
      <w:r w:rsidR="00096F6B">
        <w:rPr>
          <w:i/>
        </w:rPr>
        <w:t xml:space="preserve">. </w:t>
      </w:r>
      <w:r w:rsidRPr="00A614FE">
        <w:t>UNDP</w:t>
      </w:r>
      <w:r>
        <w:t xml:space="preserve"> heeft strikt genomen geen humanitair mandaat maar is wel verantwoordelijk voor het systeem van VN-resident coördinatoren die in een aantal landen ook als humanitaire coördinator optreden. </w:t>
      </w:r>
      <w:r w:rsidRPr="00DB4617">
        <w:t xml:space="preserve">UNDP </w:t>
      </w:r>
      <w:r>
        <w:t xml:space="preserve">is </w:t>
      </w:r>
      <w:r w:rsidRPr="00DB4617">
        <w:t xml:space="preserve">ook actief als </w:t>
      </w:r>
      <w:r w:rsidRPr="00F02A89">
        <w:rPr>
          <w:i/>
          <w:iCs/>
        </w:rPr>
        <w:t xml:space="preserve">Managing Agent </w:t>
      </w:r>
      <w:r w:rsidRPr="00DB4617">
        <w:t xml:space="preserve">van enkele </w:t>
      </w:r>
      <w:r w:rsidRPr="00F02A89">
        <w:rPr>
          <w:i/>
        </w:rPr>
        <w:t>Common Humanitarian Funds</w:t>
      </w:r>
      <w:r>
        <w:t>. UNDP</w:t>
      </w:r>
      <w:r w:rsidR="00844CC1">
        <w:t xml:space="preserve"> </w:t>
      </w:r>
      <w:r>
        <w:t xml:space="preserve">speelt een rol in ondersteuning van landen </w:t>
      </w:r>
      <w:r w:rsidRPr="003B45D0">
        <w:t xml:space="preserve">die in transitie zijn van humanitaire hulp naar ontwikkeling. UNDP is coördinator van (vroege) wederopbouw en </w:t>
      </w:r>
      <w:r>
        <w:t xml:space="preserve">is daarnaast relevant vanwege de rol </w:t>
      </w:r>
      <w:r w:rsidRPr="003B45D0">
        <w:t xml:space="preserve">op </w:t>
      </w:r>
      <w:r>
        <w:t xml:space="preserve">het </w:t>
      </w:r>
      <w:r w:rsidRPr="003B45D0">
        <w:t>gebied van preventie van rampen en versterken van weerbaarheid van gemeenschappen.</w:t>
      </w:r>
      <w:r w:rsidRPr="00DB4617">
        <w:t xml:space="preserve"> </w:t>
      </w:r>
    </w:p>
    <w:p w14:paraId="7246D512" w14:textId="5D563AA5" w:rsidR="00D83137" w:rsidRDefault="00D83137" w:rsidP="00730D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1557"/>
        <w:gridCol w:w="1839"/>
        <w:gridCol w:w="1482"/>
      </w:tblGrid>
      <w:tr w:rsidR="00C93FE8" w14:paraId="415DAACF" w14:textId="77777777" w:rsidTr="00A0334B">
        <w:tc>
          <w:tcPr>
            <w:tcW w:w="7589"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F8A8D5B" w14:textId="58F67EBE" w:rsidR="00C93FE8" w:rsidRPr="00C93FE8" w:rsidRDefault="00C93FE8" w:rsidP="00C93FE8">
            <w:pPr>
              <w:rPr>
                <w:b/>
                <w:i/>
              </w:rPr>
            </w:pPr>
            <w:r>
              <w:rPr>
                <w:b/>
              </w:rPr>
              <w:t>Relevantie voor de Nederlandse BHOS-prioriteiten</w:t>
            </w:r>
          </w:p>
        </w:tc>
      </w:tr>
      <w:tr w:rsidR="00DE7CC4" w14:paraId="7246D517" w14:textId="77777777" w:rsidTr="00C93FE8">
        <w:tc>
          <w:tcPr>
            <w:tcW w:w="2711" w:type="dxa"/>
            <w:tcBorders>
              <w:top w:val="single" w:sz="12" w:space="0" w:color="auto"/>
              <w:left w:val="single" w:sz="12" w:space="0" w:color="auto"/>
              <w:bottom w:val="single" w:sz="12" w:space="0" w:color="auto"/>
            </w:tcBorders>
            <w:shd w:val="clear" w:color="auto" w:fill="BFBFBF" w:themeFill="background1" w:themeFillShade="BF"/>
          </w:tcPr>
          <w:p w14:paraId="7246D513" w14:textId="77777777" w:rsidR="00DE7CC4" w:rsidRPr="00792AB2" w:rsidRDefault="00DE7CC4" w:rsidP="0018535A">
            <w:pPr>
              <w:rPr>
                <w:b/>
                <w:i/>
              </w:rPr>
            </w:pPr>
          </w:p>
        </w:tc>
        <w:tc>
          <w:tcPr>
            <w:tcW w:w="1557" w:type="dxa"/>
            <w:tcBorders>
              <w:top w:val="single" w:sz="12" w:space="0" w:color="auto"/>
              <w:bottom w:val="single" w:sz="12" w:space="0" w:color="auto"/>
            </w:tcBorders>
            <w:shd w:val="clear" w:color="auto" w:fill="BFBFBF" w:themeFill="background1" w:themeFillShade="BF"/>
          </w:tcPr>
          <w:p w14:paraId="7246D514" w14:textId="77777777" w:rsidR="00DE7CC4" w:rsidRPr="00792AB2" w:rsidRDefault="00DE7CC4" w:rsidP="0018535A">
            <w:pPr>
              <w:jc w:val="center"/>
              <w:rPr>
                <w:b/>
              </w:rPr>
            </w:pPr>
            <w:r w:rsidRPr="00792AB2">
              <w:rPr>
                <w:b/>
              </w:rPr>
              <w:t>Uitvoerend</w:t>
            </w:r>
          </w:p>
        </w:tc>
        <w:tc>
          <w:tcPr>
            <w:tcW w:w="1839" w:type="dxa"/>
            <w:tcBorders>
              <w:top w:val="single" w:sz="12" w:space="0" w:color="auto"/>
              <w:bottom w:val="single" w:sz="12" w:space="0" w:color="auto"/>
            </w:tcBorders>
            <w:shd w:val="clear" w:color="auto" w:fill="BFBFBF" w:themeFill="background1" w:themeFillShade="BF"/>
          </w:tcPr>
          <w:p w14:paraId="7246D515" w14:textId="77777777" w:rsidR="00DE7CC4" w:rsidRPr="00792AB2" w:rsidRDefault="00DE7CC4" w:rsidP="0018535A">
            <w:pPr>
              <w:jc w:val="center"/>
              <w:rPr>
                <w:b/>
              </w:rPr>
            </w:pPr>
            <w:r w:rsidRPr="00792AB2">
              <w:rPr>
                <w:b/>
              </w:rPr>
              <w:t>Coördinerend</w:t>
            </w:r>
          </w:p>
        </w:tc>
        <w:tc>
          <w:tcPr>
            <w:tcW w:w="1482" w:type="dxa"/>
            <w:tcBorders>
              <w:top w:val="single" w:sz="12" w:space="0" w:color="auto"/>
              <w:bottom w:val="single" w:sz="12" w:space="0" w:color="auto"/>
              <w:right w:val="single" w:sz="12" w:space="0" w:color="auto"/>
            </w:tcBorders>
            <w:shd w:val="clear" w:color="auto" w:fill="BFBFBF" w:themeFill="background1" w:themeFillShade="BF"/>
          </w:tcPr>
          <w:p w14:paraId="7246D516" w14:textId="77777777" w:rsidR="00DE7CC4" w:rsidRPr="00792AB2" w:rsidRDefault="00DE7CC4" w:rsidP="0018535A">
            <w:pPr>
              <w:jc w:val="center"/>
              <w:rPr>
                <w:b/>
              </w:rPr>
            </w:pPr>
            <w:r w:rsidRPr="00792AB2">
              <w:rPr>
                <w:b/>
              </w:rPr>
              <w:t>Normatief</w:t>
            </w:r>
          </w:p>
        </w:tc>
      </w:tr>
      <w:tr w:rsidR="00DE7CC4" w14:paraId="7246D51C" w14:textId="77777777" w:rsidTr="00553ADF">
        <w:tc>
          <w:tcPr>
            <w:tcW w:w="2711" w:type="dxa"/>
            <w:tcBorders>
              <w:top w:val="single" w:sz="12" w:space="0" w:color="auto"/>
              <w:left w:val="single" w:sz="12" w:space="0" w:color="auto"/>
            </w:tcBorders>
            <w:shd w:val="clear" w:color="auto" w:fill="auto"/>
          </w:tcPr>
          <w:p w14:paraId="7246D518" w14:textId="05672DDF" w:rsidR="00C93FE8" w:rsidRDefault="00DE7CC4" w:rsidP="00DE7CC4">
            <w:r>
              <w:t>Veiligheid en rechtsorde</w:t>
            </w:r>
          </w:p>
        </w:tc>
        <w:tc>
          <w:tcPr>
            <w:tcW w:w="1557" w:type="dxa"/>
            <w:tcBorders>
              <w:top w:val="single" w:sz="12" w:space="0" w:color="auto"/>
            </w:tcBorders>
            <w:shd w:val="clear" w:color="auto" w:fill="auto"/>
          </w:tcPr>
          <w:p w14:paraId="7246D519" w14:textId="77777777" w:rsidR="00DE7CC4" w:rsidRDefault="00DE7CC4" w:rsidP="00DE7CC4">
            <w:pPr>
              <w:jc w:val="center"/>
            </w:pPr>
            <w:r>
              <w:t>4</w:t>
            </w:r>
          </w:p>
        </w:tc>
        <w:tc>
          <w:tcPr>
            <w:tcW w:w="1839" w:type="dxa"/>
            <w:tcBorders>
              <w:top w:val="single" w:sz="12" w:space="0" w:color="auto"/>
            </w:tcBorders>
            <w:shd w:val="clear" w:color="auto" w:fill="auto"/>
          </w:tcPr>
          <w:p w14:paraId="7246D51A" w14:textId="77777777" w:rsidR="00DE7CC4" w:rsidRDefault="00DE7CC4" w:rsidP="00DE7CC4">
            <w:pPr>
              <w:jc w:val="center"/>
            </w:pPr>
            <w:r>
              <w:t>4</w:t>
            </w:r>
          </w:p>
        </w:tc>
        <w:tc>
          <w:tcPr>
            <w:tcW w:w="1482" w:type="dxa"/>
            <w:tcBorders>
              <w:top w:val="single" w:sz="12" w:space="0" w:color="auto"/>
              <w:right w:val="single" w:sz="12" w:space="0" w:color="auto"/>
            </w:tcBorders>
            <w:shd w:val="clear" w:color="auto" w:fill="auto"/>
          </w:tcPr>
          <w:p w14:paraId="7246D51B" w14:textId="77777777" w:rsidR="00DE7CC4" w:rsidRDefault="00DE7CC4" w:rsidP="00DE7CC4">
            <w:pPr>
              <w:jc w:val="center"/>
            </w:pPr>
            <w:r>
              <w:t>3</w:t>
            </w:r>
          </w:p>
        </w:tc>
      </w:tr>
      <w:tr w:rsidR="00DE7CC4" w14:paraId="7246D521" w14:textId="77777777" w:rsidTr="00553ADF">
        <w:tc>
          <w:tcPr>
            <w:tcW w:w="2711" w:type="dxa"/>
            <w:tcBorders>
              <w:left w:val="single" w:sz="12" w:space="0" w:color="auto"/>
            </w:tcBorders>
            <w:shd w:val="clear" w:color="auto" w:fill="auto"/>
          </w:tcPr>
          <w:p w14:paraId="7246D51D" w14:textId="5C264860" w:rsidR="00C93FE8" w:rsidRDefault="00DE7CC4" w:rsidP="00DE7CC4">
            <w:r>
              <w:t>SRGR</w:t>
            </w:r>
          </w:p>
        </w:tc>
        <w:tc>
          <w:tcPr>
            <w:tcW w:w="1557" w:type="dxa"/>
            <w:shd w:val="clear" w:color="auto" w:fill="auto"/>
          </w:tcPr>
          <w:p w14:paraId="7246D51E" w14:textId="77777777" w:rsidR="00DE7CC4" w:rsidRDefault="00DE7CC4" w:rsidP="00DE7CC4">
            <w:pPr>
              <w:jc w:val="center"/>
            </w:pPr>
            <w:r>
              <w:t>3</w:t>
            </w:r>
          </w:p>
        </w:tc>
        <w:tc>
          <w:tcPr>
            <w:tcW w:w="1839" w:type="dxa"/>
            <w:shd w:val="clear" w:color="auto" w:fill="auto"/>
          </w:tcPr>
          <w:p w14:paraId="7246D51F" w14:textId="77777777" w:rsidR="00DE7CC4" w:rsidRDefault="00DE7CC4" w:rsidP="00DE7CC4">
            <w:pPr>
              <w:jc w:val="center"/>
            </w:pPr>
          </w:p>
        </w:tc>
        <w:tc>
          <w:tcPr>
            <w:tcW w:w="1482" w:type="dxa"/>
            <w:tcBorders>
              <w:right w:val="single" w:sz="12" w:space="0" w:color="auto"/>
            </w:tcBorders>
            <w:shd w:val="clear" w:color="auto" w:fill="auto"/>
          </w:tcPr>
          <w:p w14:paraId="7246D520" w14:textId="77777777" w:rsidR="00DE7CC4" w:rsidRDefault="00DE7CC4" w:rsidP="00DE7CC4">
            <w:pPr>
              <w:jc w:val="center"/>
            </w:pPr>
          </w:p>
        </w:tc>
      </w:tr>
      <w:tr w:rsidR="00DE7CC4" w14:paraId="7246D526" w14:textId="77777777" w:rsidTr="00553ADF">
        <w:tc>
          <w:tcPr>
            <w:tcW w:w="2711" w:type="dxa"/>
            <w:tcBorders>
              <w:left w:val="single" w:sz="12" w:space="0" w:color="auto"/>
            </w:tcBorders>
            <w:shd w:val="clear" w:color="auto" w:fill="auto"/>
          </w:tcPr>
          <w:p w14:paraId="7246D522" w14:textId="6BAD2367" w:rsidR="00C93FE8" w:rsidRDefault="00DE7CC4" w:rsidP="00DE7CC4">
            <w:r>
              <w:t>Gendergelijkheid</w:t>
            </w:r>
          </w:p>
        </w:tc>
        <w:tc>
          <w:tcPr>
            <w:tcW w:w="1557" w:type="dxa"/>
            <w:shd w:val="clear" w:color="auto" w:fill="auto"/>
          </w:tcPr>
          <w:p w14:paraId="7246D523" w14:textId="77777777" w:rsidR="00DE7CC4" w:rsidRDefault="00DE7CC4" w:rsidP="00DE7CC4">
            <w:pPr>
              <w:jc w:val="center"/>
            </w:pPr>
            <w:r>
              <w:t>3</w:t>
            </w:r>
          </w:p>
        </w:tc>
        <w:tc>
          <w:tcPr>
            <w:tcW w:w="1839" w:type="dxa"/>
            <w:shd w:val="clear" w:color="auto" w:fill="auto"/>
          </w:tcPr>
          <w:p w14:paraId="7246D524" w14:textId="77777777" w:rsidR="00DE7CC4" w:rsidRDefault="00DE7CC4" w:rsidP="00DE7CC4">
            <w:pPr>
              <w:jc w:val="center"/>
            </w:pPr>
            <w:r>
              <w:t>4</w:t>
            </w:r>
          </w:p>
        </w:tc>
        <w:tc>
          <w:tcPr>
            <w:tcW w:w="1482" w:type="dxa"/>
            <w:tcBorders>
              <w:right w:val="single" w:sz="12" w:space="0" w:color="auto"/>
            </w:tcBorders>
            <w:shd w:val="clear" w:color="auto" w:fill="auto"/>
          </w:tcPr>
          <w:p w14:paraId="7246D525" w14:textId="77777777" w:rsidR="00DE7CC4" w:rsidRDefault="00DE7CC4" w:rsidP="00DE7CC4">
            <w:pPr>
              <w:jc w:val="center"/>
            </w:pPr>
            <w:r>
              <w:t>3</w:t>
            </w:r>
          </w:p>
        </w:tc>
      </w:tr>
      <w:tr w:rsidR="00DE7CC4" w14:paraId="7246D52B" w14:textId="77777777" w:rsidTr="00553ADF">
        <w:tc>
          <w:tcPr>
            <w:tcW w:w="2711" w:type="dxa"/>
            <w:tcBorders>
              <w:left w:val="single" w:sz="12" w:space="0" w:color="auto"/>
              <w:bottom w:val="single" w:sz="12" w:space="0" w:color="auto"/>
            </w:tcBorders>
            <w:shd w:val="clear" w:color="auto" w:fill="auto"/>
          </w:tcPr>
          <w:p w14:paraId="7246D527" w14:textId="1C5BB665" w:rsidR="00C93FE8" w:rsidRDefault="00DE7CC4" w:rsidP="00DE7CC4">
            <w:r>
              <w:t>Klimaat</w:t>
            </w:r>
          </w:p>
        </w:tc>
        <w:tc>
          <w:tcPr>
            <w:tcW w:w="1557" w:type="dxa"/>
            <w:tcBorders>
              <w:bottom w:val="single" w:sz="12" w:space="0" w:color="auto"/>
            </w:tcBorders>
            <w:shd w:val="clear" w:color="auto" w:fill="auto"/>
          </w:tcPr>
          <w:p w14:paraId="7246D528" w14:textId="77777777" w:rsidR="00DE7CC4" w:rsidRDefault="00DE7CC4" w:rsidP="00DE7CC4">
            <w:pPr>
              <w:jc w:val="center"/>
            </w:pPr>
            <w:r>
              <w:t>3</w:t>
            </w:r>
          </w:p>
        </w:tc>
        <w:tc>
          <w:tcPr>
            <w:tcW w:w="1839" w:type="dxa"/>
            <w:tcBorders>
              <w:bottom w:val="single" w:sz="12" w:space="0" w:color="auto"/>
            </w:tcBorders>
            <w:shd w:val="clear" w:color="auto" w:fill="auto"/>
          </w:tcPr>
          <w:p w14:paraId="7246D529" w14:textId="77777777" w:rsidR="00DE7CC4" w:rsidRDefault="00DE7CC4" w:rsidP="00DE7CC4">
            <w:pPr>
              <w:jc w:val="center"/>
            </w:pPr>
          </w:p>
        </w:tc>
        <w:tc>
          <w:tcPr>
            <w:tcW w:w="1482" w:type="dxa"/>
            <w:tcBorders>
              <w:bottom w:val="single" w:sz="12" w:space="0" w:color="auto"/>
              <w:right w:val="single" w:sz="12" w:space="0" w:color="auto"/>
            </w:tcBorders>
            <w:shd w:val="clear" w:color="auto" w:fill="auto"/>
          </w:tcPr>
          <w:p w14:paraId="7246D52A" w14:textId="77777777" w:rsidR="00DE7CC4" w:rsidRDefault="00DE7CC4" w:rsidP="00DE7CC4">
            <w:pPr>
              <w:jc w:val="center"/>
            </w:pPr>
          </w:p>
        </w:tc>
      </w:tr>
    </w:tbl>
    <w:p w14:paraId="7246D538" w14:textId="42E42918" w:rsidR="00ED6CDA" w:rsidRPr="008624F0" w:rsidRDefault="00ED6CDA" w:rsidP="00ED6CDA"/>
    <w:p w14:paraId="7246D539" w14:textId="57A5B0EA" w:rsidR="008624F0" w:rsidRDefault="00CC19D4" w:rsidP="008624F0">
      <w:pPr>
        <w:pStyle w:val="Heading2"/>
        <w:tabs>
          <w:tab w:val="left" w:pos="-1162"/>
          <w:tab w:val="left" w:pos="0"/>
          <w:tab w:val="num" w:pos="1160"/>
        </w:tabs>
        <w:spacing w:line="240" w:lineRule="auto"/>
        <w:ind w:hanging="1162"/>
      </w:pPr>
      <w:bookmarkStart w:id="39" w:name="_Toc410140912"/>
      <w:bookmarkStart w:id="40" w:name="_Toc491268975"/>
      <w:r>
        <w:t>5</w:t>
      </w:r>
      <w:r w:rsidR="003331DA">
        <w:t>.</w:t>
      </w:r>
      <w:r w:rsidR="00195B13">
        <w:t>2</w:t>
      </w:r>
      <w:r w:rsidR="008624F0">
        <w:tab/>
        <w:t>Overige relevantie</w:t>
      </w:r>
      <w:bookmarkEnd w:id="39"/>
      <w:bookmarkEnd w:id="40"/>
      <w:r w:rsidR="0057402A">
        <w:t xml:space="preserve"> </w:t>
      </w:r>
    </w:p>
    <w:p w14:paraId="7246D545" w14:textId="77777777" w:rsidR="000D3F19" w:rsidRDefault="000D3F19" w:rsidP="000D3F19">
      <w:pPr>
        <w:autoSpaceDE w:val="0"/>
        <w:autoSpaceDN w:val="0"/>
        <w:adjustRightInd w:val="0"/>
        <w:spacing w:line="240" w:lineRule="auto"/>
      </w:pPr>
      <w:r>
        <w:t>UNDP is de systeemorganisatie in het VN ontwikkelingssysteem. Binnen deze rol vallen de verantwoordelijkheid voor het Resident Coördinator systeem en het voorzitterschap van de VN ontwikkelingsgroep, de groep hoofden van de VN- organisaties die streeft naar meer coherentie en harmonisatie binnen de VN. Bovendien zijn bij UNDP verschillende VN- brede programma's en diensten ondergebracht, zoals bijvoorbeeld het kantoor voor bevordering van Zuid</w:t>
      </w:r>
      <w:r w:rsidR="00600064">
        <w:t>-</w:t>
      </w:r>
      <w:r>
        <w:t>Zuid samenwerking. UNDP ondersteunt samen met de OESO het mondiale partnerschap voor effectieve ontwikkelingssamenwerking.</w:t>
      </w:r>
    </w:p>
    <w:p w14:paraId="7246D546" w14:textId="77777777" w:rsidR="00300D9E" w:rsidRDefault="00300D9E" w:rsidP="00D94DB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329"/>
        <w:gridCol w:w="1936"/>
        <w:gridCol w:w="1909"/>
      </w:tblGrid>
      <w:tr w:rsidR="00C93FE8" w14:paraId="6A8AC58D" w14:textId="77777777" w:rsidTr="00A0334B">
        <w:tc>
          <w:tcPr>
            <w:tcW w:w="7589" w:type="dxa"/>
            <w:gridSpan w:val="4"/>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9617323" w14:textId="6244D4A5" w:rsidR="00C93FE8" w:rsidRPr="00C93FE8" w:rsidRDefault="00C93FE8" w:rsidP="00D67F8F">
            <w:pPr>
              <w:rPr>
                <w:i/>
              </w:rPr>
            </w:pPr>
            <w:r>
              <w:rPr>
                <w:b/>
              </w:rPr>
              <w:t>Overige relevantie</w:t>
            </w:r>
          </w:p>
        </w:tc>
      </w:tr>
      <w:tr w:rsidR="00587797" w14:paraId="7246D54B" w14:textId="77777777" w:rsidTr="00C93FE8">
        <w:tc>
          <w:tcPr>
            <w:tcW w:w="2415" w:type="dxa"/>
            <w:tcBorders>
              <w:top w:val="single" w:sz="12" w:space="0" w:color="auto"/>
              <w:left w:val="single" w:sz="12" w:space="0" w:color="auto"/>
              <w:bottom w:val="single" w:sz="12" w:space="0" w:color="auto"/>
            </w:tcBorders>
            <w:shd w:val="clear" w:color="auto" w:fill="BFBFBF" w:themeFill="background1" w:themeFillShade="BF"/>
          </w:tcPr>
          <w:p w14:paraId="7246D547" w14:textId="77777777" w:rsidR="00587797" w:rsidRPr="00B06CE6" w:rsidRDefault="00587797" w:rsidP="00755248">
            <w:pPr>
              <w:rPr>
                <w:i/>
              </w:rPr>
            </w:pPr>
          </w:p>
        </w:tc>
        <w:tc>
          <w:tcPr>
            <w:tcW w:w="1329" w:type="dxa"/>
            <w:tcBorders>
              <w:top w:val="single" w:sz="12" w:space="0" w:color="auto"/>
              <w:bottom w:val="single" w:sz="12" w:space="0" w:color="auto"/>
            </w:tcBorders>
            <w:shd w:val="clear" w:color="auto" w:fill="BFBFBF" w:themeFill="background1" w:themeFillShade="BF"/>
          </w:tcPr>
          <w:p w14:paraId="7246D548" w14:textId="77777777" w:rsidR="00587797" w:rsidRPr="00B06CE6" w:rsidRDefault="00587797" w:rsidP="00D67F8F">
            <w:pPr>
              <w:rPr>
                <w:b/>
              </w:rPr>
            </w:pPr>
            <w:r w:rsidRPr="00B06CE6">
              <w:rPr>
                <w:b/>
              </w:rPr>
              <w:t>Uitvoerend</w:t>
            </w:r>
          </w:p>
        </w:tc>
        <w:tc>
          <w:tcPr>
            <w:tcW w:w="1936" w:type="dxa"/>
            <w:tcBorders>
              <w:top w:val="single" w:sz="12" w:space="0" w:color="auto"/>
              <w:bottom w:val="single" w:sz="12" w:space="0" w:color="auto"/>
            </w:tcBorders>
            <w:shd w:val="clear" w:color="auto" w:fill="BFBFBF" w:themeFill="background1" w:themeFillShade="BF"/>
          </w:tcPr>
          <w:p w14:paraId="7246D549" w14:textId="77777777" w:rsidR="00587797" w:rsidRPr="00B06CE6" w:rsidRDefault="00587797" w:rsidP="00D67F8F">
            <w:pPr>
              <w:rPr>
                <w:b/>
              </w:rPr>
            </w:pPr>
            <w:r w:rsidRPr="00B06CE6">
              <w:rPr>
                <w:b/>
              </w:rPr>
              <w:t>Coördinerend</w:t>
            </w:r>
          </w:p>
        </w:tc>
        <w:tc>
          <w:tcPr>
            <w:tcW w:w="1909" w:type="dxa"/>
            <w:tcBorders>
              <w:top w:val="single" w:sz="12" w:space="0" w:color="auto"/>
              <w:bottom w:val="single" w:sz="12" w:space="0" w:color="auto"/>
              <w:right w:val="single" w:sz="12" w:space="0" w:color="auto"/>
            </w:tcBorders>
            <w:shd w:val="clear" w:color="auto" w:fill="BFBFBF" w:themeFill="background1" w:themeFillShade="BF"/>
          </w:tcPr>
          <w:p w14:paraId="7246D54A" w14:textId="77777777" w:rsidR="00587797" w:rsidRPr="00B06CE6" w:rsidRDefault="00587797" w:rsidP="00D67F8F">
            <w:pPr>
              <w:rPr>
                <w:b/>
              </w:rPr>
            </w:pPr>
            <w:r w:rsidRPr="00B06CE6">
              <w:rPr>
                <w:b/>
              </w:rPr>
              <w:t>Normatief</w:t>
            </w:r>
          </w:p>
        </w:tc>
      </w:tr>
      <w:tr w:rsidR="00587797" w14:paraId="7246D550" w14:textId="77777777" w:rsidTr="00C93FE8">
        <w:tc>
          <w:tcPr>
            <w:tcW w:w="2415" w:type="dxa"/>
            <w:tcBorders>
              <w:top w:val="single" w:sz="12" w:space="0" w:color="auto"/>
              <w:left w:val="single" w:sz="12" w:space="0" w:color="auto"/>
              <w:bottom w:val="single" w:sz="12" w:space="0" w:color="auto"/>
            </w:tcBorders>
            <w:shd w:val="clear" w:color="auto" w:fill="auto"/>
          </w:tcPr>
          <w:p w14:paraId="7246D54C" w14:textId="0249B8DF" w:rsidR="00C93FE8" w:rsidRDefault="00FD41EE" w:rsidP="00D67F8F">
            <w:r>
              <w:t>Internationale coördinatie en samenwerking ontwikkelingsbeleid</w:t>
            </w:r>
          </w:p>
        </w:tc>
        <w:tc>
          <w:tcPr>
            <w:tcW w:w="1329" w:type="dxa"/>
            <w:tcBorders>
              <w:top w:val="single" w:sz="12" w:space="0" w:color="auto"/>
              <w:bottom w:val="single" w:sz="12" w:space="0" w:color="auto"/>
            </w:tcBorders>
            <w:shd w:val="clear" w:color="auto" w:fill="auto"/>
          </w:tcPr>
          <w:p w14:paraId="7246D54D" w14:textId="77777777" w:rsidR="00587797" w:rsidRPr="002200C2" w:rsidRDefault="000D3F19" w:rsidP="000D3F19">
            <w:pPr>
              <w:jc w:val="center"/>
            </w:pPr>
            <w:r w:rsidRPr="002200C2">
              <w:t>4</w:t>
            </w:r>
          </w:p>
        </w:tc>
        <w:tc>
          <w:tcPr>
            <w:tcW w:w="1936" w:type="dxa"/>
            <w:tcBorders>
              <w:top w:val="single" w:sz="12" w:space="0" w:color="auto"/>
              <w:bottom w:val="single" w:sz="12" w:space="0" w:color="auto"/>
            </w:tcBorders>
            <w:shd w:val="clear" w:color="auto" w:fill="auto"/>
          </w:tcPr>
          <w:p w14:paraId="7246D54E" w14:textId="77777777" w:rsidR="00587797" w:rsidRPr="002200C2" w:rsidRDefault="000D3F19" w:rsidP="000D3F19">
            <w:pPr>
              <w:jc w:val="center"/>
            </w:pPr>
            <w:r w:rsidRPr="002200C2">
              <w:t>3</w:t>
            </w:r>
          </w:p>
        </w:tc>
        <w:tc>
          <w:tcPr>
            <w:tcW w:w="1909" w:type="dxa"/>
            <w:tcBorders>
              <w:top w:val="single" w:sz="12" w:space="0" w:color="auto"/>
              <w:bottom w:val="single" w:sz="12" w:space="0" w:color="auto"/>
              <w:right w:val="single" w:sz="12" w:space="0" w:color="auto"/>
            </w:tcBorders>
            <w:shd w:val="clear" w:color="auto" w:fill="auto"/>
          </w:tcPr>
          <w:p w14:paraId="7246D54F" w14:textId="77777777" w:rsidR="00587797" w:rsidRPr="002200C2" w:rsidRDefault="000D3F19" w:rsidP="000D3F19">
            <w:pPr>
              <w:jc w:val="center"/>
            </w:pPr>
            <w:r w:rsidRPr="002200C2">
              <w:t>3</w:t>
            </w:r>
          </w:p>
        </w:tc>
      </w:tr>
    </w:tbl>
    <w:p w14:paraId="7246D551" w14:textId="77777777" w:rsidR="00587797" w:rsidRDefault="00587797" w:rsidP="00D67F8F"/>
    <w:p w14:paraId="7246D5AE" w14:textId="6C97953C" w:rsidR="00D358D8" w:rsidRPr="00D745A7" w:rsidRDefault="00D358D8" w:rsidP="00844CC1">
      <w:pPr>
        <w:spacing w:line="240" w:lineRule="auto"/>
      </w:pPr>
    </w:p>
    <w:sectPr w:rsidR="00D358D8" w:rsidRPr="00D745A7" w:rsidSect="00EE1B9E">
      <w:endnotePr>
        <w:numFmt w:val="decimal"/>
      </w:endnotePr>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4567F" w14:textId="77777777" w:rsidR="00844CC1" w:rsidRDefault="00844CC1">
      <w:r>
        <w:separator/>
      </w:r>
    </w:p>
    <w:p w14:paraId="69E73627" w14:textId="77777777" w:rsidR="00844CC1" w:rsidRDefault="00844CC1"/>
    <w:p w14:paraId="66156536" w14:textId="77777777" w:rsidR="00844CC1" w:rsidRDefault="00844CC1"/>
  </w:endnote>
  <w:endnote w:type="continuationSeparator" w:id="0">
    <w:p w14:paraId="5BF6E780" w14:textId="77777777" w:rsidR="00844CC1" w:rsidRDefault="00844CC1">
      <w:r>
        <w:continuationSeparator/>
      </w:r>
    </w:p>
    <w:p w14:paraId="2A1C0506" w14:textId="77777777" w:rsidR="00844CC1" w:rsidRDefault="00844CC1"/>
    <w:p w14:paraId="0FF983C2" w14:textId="77777777" w:rsidR="00844CC1" w:rsidRDefault="00844CC1"/>
  </w:endnote>
  <w:endnote w:type="continuationNotice" w:id="1">
    <w:p w14:paraId="2DE3E427" w14:textId="77777777" w:rsidR="00844CC1" w:rsidRDefault="00844C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Segoe UI Emoji">
    <w:altName w:val="Segoe UI Symbol"/>
    <w:panose1 w:val="020B0502040204020203"/>
    <w:charset w:val="00"/>
    <w:family w:val="swiss"/>
    <w:pitch w:val="variable"/>
    <w:sig w:usb0="00000003" w:usb1="02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066502"/>
      <w:docPartObj>
        <w:docPartGallery w:val="Page Numbers (Bottom of Page)"/>
        <w:docPartUnique/>
      </w:docPartObj>
    </w:sdtPr>
    <w:sdtEndPr/>
    <w:sdtContent>
      <w:sdt>
        <w:sdtPr>
          <w:id w:val="-1769616900"/>
          <w:docPartObj>
            <w:docPartGallery w:val="Page Numbers (Top of Page)"/>
            <w:docPartUnique/>
          </w:docPartObj>
        </w:sdtPr>
        <w:sdtEndPr/>
        <w:sdtContent>
          <w:p w14:paraId="25708A49" w14:textId="6804C5A1" w:rsidR="00844CC1" w:rsidRDefault="00844CC1">
            <w:pPr>
              <w:pStyle w:val="Footer"/>
              <w:jc w:val="right"/>
            </w:pPr>
            <w:r w:rsidRPr="00485E80">
              <w:rPr>
                <w:sz w:val="16"/>
                <w:szCs w:val="16"/>
              </w:rPr>
              <w:t xml:space="preserve">Pagina </w:t>
            </w:r>
            <w:r w:rsidRPr="00485E80">
              <w:rPr>
                <w:bCs/>
                <w:sz w:val="16"/>
                <w:szCs w:val="16"/>
              </w:rPr>
              <w:fldChar w:fldCharType="begin"/>
            </w:r>
            <w:r w:rsidRPr="00485E80">
              <w:rPr>
                <w:bCs/>
                <w:sz w:val="16"/>
                <w:szCs w:val="16"/>
              </w:rPr>
              <w:instrText>PAGE</w:instrText>
            </w:r>
            <w:r w:rsidRPr="00485E80">
              <w:rPr>
                <w:bCs/>
                <w:sz w:val="16"/>
                <w:szCs w:val="16"/>
              </w:rPr>
              <w:fldChar w:fldCharType="separate"/>
            </w:r>
            <w:r w:rsidR="00485E80">
              <w:rPr>
                <w:bCs/>
                <w:noProof/>
                <w:sz w:val="16"/>
                <w:szCs w:val="16"/>
              </w:rPr>
              <w:t>17</w:t>
            </w:r>
            <w:r w:rsidRPr="00485E80">
              <w:rPr>
                <w:bCs/>
                <w:sz w:val="16"/>
                <w:szCs w:val="16"/>
              </w:rPr>
              <w:fldChar w:fldCharType="end"/>
            </w:r>
            <w:r w:rsidRPr="00485E80">
              <w:rPr>
                <w:sz w:val="16"/>
                <w:szCs w:val="16"/>
              </w:rPr>
              <w:t xml:space="preserve"> van </w:t>
            </w:r>
            <w:r w:rsidRPr="00485E80">
              <w:rPr>
                <w:bCs/>
                <w:sz w:val="16"/>
                <w:szCs w:val="16"/>
              </w:rPr>
              <w:fldChar w:fldCharType="begin"/>
            </w:r>
            <w:r w:rsidRPr="00485E80">
              <w:rPr>
                <w:bCs/>
                <w:sz w:val="16"/>
                <w:szCs w:val="16"/>
              </w:rPr>
              <w:instrText>NUMPAGES</w:instrText>
            </w:r>
            <w:r w:rsidRPr="00485E80">
              <w:rPr>
                <w:bCs/>
                <w:sz w:val="16"/>
                <w:szCs w:val="16"/>
              </w:rPr>
              <w:fldChar w:fldCharType="separate"/>
            </w:r>
            <w:r w:rsidR="00485E80">
              <w:rPr>
                <w:bCs/>
                <w:noProof/>
                <w:sz w:val="16"/>
                <w:szCs w:val="16"/>
              </w:rPr>
              <w:t>20</w:t>
            </w:r>
            <w:r w:rsidRPr="00485E80">
              <w:rPr>
                <w:bCs/>
                <w:sz w:val="16"/>
                <w:szCs w:val="16"/>
              </w:rPr>
              <w:fldChar w:fldCharType="end"/>
            </w:r>
          </w:p>
        </w:sdtContent>
      </w:sdt>
    </w:sdtContent>
  </w:sdt>
  <w:p w14:paraId="1B99447E" w14:textId="77777777" w:rsidR="00844CC1" w:rsidRDefault="00844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DEE82" w14:textId="77777777" w:rsidR="00844CC1" w:rsidRPr="00B35331" w:rsidRDefault="00844CC1" w:rsidP="00B35331">
      <w:pPr>
        <w:pStyle w:val="Footer"/>
      </w:pPr>
    </w:p>
  </w:footnote>
  <w:footnote w:type="continuationSeparator" w:id="0">
    <w:p w14:paraId="3080990F" w14:textId="77777777" w:rsidR="00844CC1" w:rsidRDefault="00844CC1">
      <w:r>
        <w:continuationSeparator/>
      </w:r>
    </w:p>
    <w:p w14:paraId="507C9E2E" w14:textId="77777777" w:rsidR="00844CC1" w:rsidRDefault="00844CC1"/>
    <w:p w14:paraId="57CD1A5C" w14:textId="77777777" w:rsidR="00844CC1" w:rsidRDefault="00844CC1"/>
  </w:footnote>
  <w:footnote w:type="continuationNotice" w:id="1">
    <w:p w14:paraId="2AAD1774" w14:textId="77777777" w:rsidR="00844CC1" w:rsidRDefault="00844CC1">
      <w:pPr>
        <w:spacing w:line="240" w:lineRule="auto"/>
      </w:pPr>
    </w:p>
  </w:footnote>
  <w:footnote w:id="2">
    <w:p w14:paraId="179A8ECF" w14:textId="5198AD4E" w:rsidR="00844CC1" w:rsidRPr="00096F6B" w:rsidRDefault="00844CC1">
      <w:pPr>
        <w:pStyle w:val="FootnoteText"/>
      </w:pPr>
      <w:r>
        <w:rPr>
          <w:rStyle w:val="FootnoteReference"/>
        </w:rPr>
        <w:footnoteRef/>
      </w:r>
      <w:r>
        <w:t xml:space="preserve"> </w:t>
      </w:r>
      <w:r w:rsidRPr="00096F6B">
        <w:t xml:space="preserve">De </w:t>
      </w:r>
      <w:r w:rsidRPr="00844CC1">
        <w:rPr>
          <w:i/>
        </w:rPr>
        <w:t>Grand Bargain</w:t>
      </w:r>
      <w:r w:rsidRPr="00096F6B">
        <w:t xml:space="preserve"> is een set van afspraken die door donoren en hulporganisaties is gemaakt tijdens de </w:t>
      </w:r>
      <w:r w:rsidRPr="00844CC1">
        <w:rPr>
          <w:i/>
        </w:rPr>
        <w:t>World Humanitarian Summit</w:t>
      </w:r>
      <w:r w:rsidRPr="00096F6B">
        <w:t xml:space="preserve"> in 2016. Deze afspraken zijn gericht op het verbeteren van de effectiviteit en efficiëntie van humanitaire hulpverlening.</w:t>
      </w:r>
    </w:p>
  </w:footnote>
  <w:footnote w:id="3">
    <w:p w14:paraId="73F9504E" w14:textId="4ECAAF28" w:rsidR="00844CC1" w:rsidRDefault="00844CC1" w:rsidP="00096F6B">
      <w:pPr>
        <w:pStyle w:val="FootnoteText"/>
      </w:pPr>
      <w:r>
        <w:rPr>
          <w:rStyle w:val="FootnoteReference"/>
        </w:rPr>
        <w:footnoteRef/>
      </w:r>
      <w:r>
        <w:t xml:space="preserve"> </w:t>
      </w:r>
      <w:r>
        <w:tab/>
        <w:t xml:space="preserve">Binnen MOPAN evalueert Nederland samen met 18 gelijkgezinde landen het functioneren van VN-organisaties en Internationale Financiële Instellingen. Vanaf 2015 worden, per keer, in een tweejaarlijkse cyclus, ongeveer 13 organisaties doorgelicht op organisatorisch functioneren en ontwikkelingseffectiviteit. </w:t>
      </w:r>
    </w:p>
  </w:footnote>
  <w:footnote w:id="4">
    <w:p w14:paraId="34EF48E7" w14:textId="5D9D8566" w:rsidR="00844CC1" w:rsidRPr="00300220" w:rsidRDefault="00844CC1" w:rsidP="00300220">
      <w:pPr>
        <w:pStyle w:val="FootnoteText"/>
      </w:pPr>
      <w:r>
        <w:rPr>
          <w:rStyle w:val="FootnoteReference"/>
        </w:rPr>
        <w:footnoteRef/>
      </w:r>
      <w:r>
        <w:t xml:space="preserve"> G</w:t>
      </w:r>
      <w:r>
        <w:rPr>
          <w:szCs w:val="18"/>
        </w:rPr>
        <w:t>rote donoren, lidstaten van de Organisatie voor Economische Samenwerking en Ontwikkeling (OESO-landen)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0056A" w14:textId="77777777" w:rsidR="00485E80" w:rsidRDefault="00485E80" w:rsidP="00096F6B">
    <w:pPr>
      <w:adjustRightInd w:val="0"/>
      <w:spacing w:line="180" w:lineRule="exact"/>
      <w:rPr>
        <w:rStyle w:val="Huisstijl-Koptekst"/>
      </w:rPr>
    </w:pPr>
  </w:p>
  <w:p w14:paraId="2E5EAF49" w14:textId="59CBF76D" w:rsidR="00844CC1" w:rsidRPr="00E670D9" w:rsidRDefault="00844CC1" w:rsidP="00096F6B">
    <w:pPr>
      <w:adjustRightInd w:val="0"/>
      <w:spacing w:line="180" w:lineRule="exact"/>
      <w:rPr>
        <w:rStyle w:val="Huisstijl-Koptekst"/>
        <w:lang w:val="en-US"/>
      </w:rPr>
    </w:pPr>
    <w:r>
      <w:rPr>
        <w:rStyle w:val="Huisstijl-Koptekst"/>
      </w:rPr>
      <w:fldChar w:fldCharType="begin"/>
    </w:r>
    <w:r w:rsidRPr="00E670D9">
      <w:rPr>
        <w:rStyle w:val="Huisstijl-Koptekst"/>
        <w:lang w:val="en-US"/>
      </w:rPr>
      <w:instrText xml:space="preserve"> Titel </w:instrText>
    </w:r>
    <w:r>
      <w:rPr>
        <w:rStyle w:val="Huisstijl-Koptekst"/>
      </w:rPr>
      <w:fldChar w:fldCharType="separate"/>
    </w:r>
    <w:r w:rsidRPr="00E670D9">
      <w:rPr>
        <w:lang w:val="en-US"/>
      </w:rPr>
      <w:t>Scorecard</w:t>
    </w:r>
    <w:r>
      <w:rPr>
        <w:rStyle w:val="Huisstijl-Koptekst"/>
      </w:rPr>
      <w:fldChar w:fldCharType="end"/>
    </w:r>
    <w:r w:rsidRPr="008517DE">
      <w:rPr>
        <w:rStyle w:val="Huisstijl-Koptekst"/>
        <w:lang w:val="en-GB"/>
      </w:rPr>
      <w:t xml:space="preserve"> | </w:t>
    </w:r>
    <w:r w:rsidRPr="00E670D9">
      <w:rPr>
        <w:rStyle w:val="Huisstijl-Koptekst"/>
        <w:lang w:val="en-US"/>
      </w:rPr>
      <w:t xml:space="preserve">United Nations </w:t>
    </w:r>
    <w:r>
      <w:rPr>
        <w:rStyle w:val="Huisstijl-Koptekst"/>
        <w:lang w:val="en-US"/>
      </w:rPr>
      <w:t>Development Programme</w:t>
    </w:r>
  </w:p>
  <w:p w14:paraId="463A09A3" w14:textId="59422C91" w:rsidR="00844CC1" w:rsidRPr="00096F6B" w:rsidRDefault="00844CC1">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E13C1" w14:textId="77777777" w:rsidR="00844CC1" w:rsidRPr="00785F18" w:rsidRDefault="00844CC1" w:rsidP="00CC3CAF">
    <w:r>
      <w:rPr>
        <w:noProof/>
      </w:rPr>
      <mc:AlternateContent>
        <mc:Choice Requires="wps">
          <w:drawing>
            <wp:anchor distT="0" distB="0" distL="114300" distR="114300" simplePos="0" relativeHeight="251658240" behindDoc="0" locked="0" layoutInCell="1" allowOverlap="1" wp14:anchorId="38FC33BE" wp14:editId="3E59D1B2">
              <wp:simplePos x="0" y="0"/>
              <wp:positionH relativeFrom="column">
                <wp:posOffset>1386840</wp:posOffset>
              </wp:positionH>
              <wp:positionV relativeFrom="page">
                <wp:posOffset>-87630</wp:posOffset>
              </wp:positionV>
              <wp:extent cx="4025900" cy="17462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844CC1" w14:paraId="12561636" w14:textId="77777777">
                            <w:trPr>
                              <w:trHeight w:val="2636"/>
                            </w:trPr>
                            <w:tc>
                              <w:tcPr>
                                <w:tcW w:w="737" w:type="dxa"/>
                                <w:shd w:val="clear" w:color="auto" w:fill="auto"/>
                              </w:tcPr>
                              <w:p w14:paraId="503BFC40" w14:textId="77777777" w:rsidR="00844CC1" w:rsidRDefault="00844CC1" w:rsidP="006E263E">
                                <w:pPr>
                                  <w:spacing w:line="240" w:lineRule="auto"/>
                                </w:pPr>
                                <w:r>
                                  <w:rPr>
                                    <w:noProof/>
                                  </w:rPr>
                                  <w:drawing>
                                    <wp:inline distT="0" distB="0" distL="0" distR="0" wp14:anchorId="691EE6A7" wp14:editId="61837446">
                                      <wp:extent cx="469265" cy="1582420"/>
                                      <wp:effectExtent l="0" t="0" r="0" b="0"/>
                                      <wp:docPr id="5"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1582420"/>
                                              </a:xfrm>
                                              <a:prstGeom prst="rect">
                                                <a:avLst/>
                                              </a:prstGeom>
                                              <a:noFill/>
                                              <a:ln>
                                                <a:noFill/>
                                              </a:ln>
                                            </pic:spPr>
                                          </pic:pic>
                                        </a:graphicData>
                                      </a:graphic>
                                    </wp:inline>
                                  </w:drawing>
                                </w:r>
                              </w:p>
                            </w:tc>
                            <w:tc>
                              <w:tcPr>
                                <w:tcW w:w="5383" w:type="dxa"/>
                                <w:shd w:val="clear" w:color="auto" w:fill="auto"/>
                              </w:tcPr>
                              <w:p w14:paraId="2848F7C5" w14:textId="77777777" w:rsidR="00844CC1" w:rsidRDefault="00844CC1" w:rsidP="006E263E">
                                <w:pPr>
                                  <w:spacing w:line="240" w:lineRule="auto"/>
                                </w:pPr>
                                <w:r>
                                  <w:rPr>
                                    <w:noProof/>
                                  </w:rPr>
                                  <w:drawing>
                                    <wp:inline distT="0" distB="0" distL="0" distR="0" wp14:anchorId="0B1098F2" wp14:editId="16C82487">
                                      <wp:extent cx="2440940" cy="1654175"/>
                                      <wp:effectExtent l="0" t="0" r="0" b="0"/>
                                      <wp:docPr id="6" name="Picture 6"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0940" cy="1654175"/>
                                              </a:xfrm>
                                              <a:prstGeom prst="rect">
                                                <a:avLst/>
                                              </a:prstGeom>
                                              <a:noFill/>
                                              <a:ln>
                                                <a:noFill/>
                                              </a:ln>
                                            </pic:spPr>
                                          </pic:pic>
                                        </a:graphicData>
                                      </a:graphic>
                                    </wp:inline>
                                  </w:drawing>
                                </w:r>
                              </w:p>
                            </w:tc>
                          </w:tr>
                        </w:tbl>
                        <w:p w14:paraId="0B9EE0B3" w14:textId="77777777" w:rsidR="00844CC1" w:rsidRDefault="00844CC1" w:rsidP="00CC3C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FC33BE" id="_x0000_t202" coordsize="21600,21600" o:spt="202" path="m,l,21600r21600,l21600,xe">
              <v:stroke joinstyle="miter"/>
              <v:path gradientshapeok="t" o:connecttype="rect"/>
            </v:shapetype>
            <v:shape id="Text Box 4" o:spid="_x0000_s1027" type="#_x0000_t202" style="position:absolute;margin-left:109.2pt;margin-top:-6.9pt;width:317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SwftQIAALo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844CC1" w14:paraId="12561636" w14:textId="77777777">
                      <w:trPr>
                        <w:trHeight w:val="2636"/>
                      </w:trPr>
                      <w:tc>
                        <w:tcPr>
                          <w:tcW w:w="737" w:type="dxa"/>
                          <w:shd w:val="clear" w:color="auto" w:fill="auto"/>
                        </w:tcPr>
                        <w:p w14:paraId="503BFC40" w14:textId="77777777" w:rsidR="00844CC1" w:rsidRDefault="00844CC1" w:rsidP="006E263E">
                          <w:pPr>
                            <w:spacing w:line="240" w:lineRule="auto"/>
                          </w:pPr>
                          <w:r>
                            <w:rPr>
                              <w:noProof/>
                            </w:rPr>
                            <w:drawing>
                              <wp:inline distT="0" distB="0" distL="0" distR="0" wp14:anchorId="691EE6A7" wp14:editId="61837446">
                                <wp:extent cx="469265" cy="1582420"/>
                                <wp:effectExtent l="0" t="0" r="0" b="0"/>
                                <wp:docPr id="5" name="Picture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1582420"/>
                                        </a:xfrm>
                                        <a:prstGeom prst="rect">
                                          <a:avLst/>
                                        </a:prstGeom>
                                        <a:noFill/>
                                        <a:ln>
                                          <a:noFill/>
                                        </a:ln>
                                      </pic:spPr>
                                    </pic:pic>
                                  </a:graphicData>
                                </a:graphic>
                              </wp:inline>
                            </w:drawing>
                          </w:r>
                        </w:p>
                      </w:tc>
                      <w:tc>
                        <w:tcPr>
                          <w:tcW w:w="5383" w:type="dxa"/>
                          <w:shd w:val="clear" w:color="auto" w:fill="auto"/>
                        </w:tcPr>
                        <w:p w14:paraId="2848F7C5" w14:textId="77777777" w:rsidR="00844CC1" w:rsidRDefault="00844CC1" w:rsidP="006E263E">
                          <w:pPr>
                            <w:spacing w:line="240" w:lineRule="auto"/>
                          </w:pPr>
                          <w:r>
                            <w:rPr>
                              <w:noProof/>
                            </w:rPr>
                            <w:drawing>
                              <wp:inline distT="0" distB="0" distL="0" distR="0" wp14:anchorId="0B1098F2" wp14:editId="16C82487">
                                <wp:extent cx="2440940" cy="1654175"/>
                                <wp:effectExtent l="0" t="0" r="0" b="0"/>
                                <wp:docPr id="6" name="Picture 6"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0940" cy="1654175"/>
                                        </a:xfrm>
                                        <a:prstGeom prst="rect">
                                          <a:avLst/>
                                        </a:prstGeom>
                                        <a:noFill/>
                                        <a:ln>
                                          <a:noFill/>
                                        </a:ln>
                                      </pic:spPr>
                                    </pic:pic>
                                  </a:graphicData>
                                </a:graphic>
                              </wp:inline>
                            </w:drawing>
                          </w:r>
                        </w:p>
                      </w:tc>
                    </w:tr>
                  </w:tbl>
                  <w:p w14:paraId="0B9EE0B3" w14:textId="77777777" w:rsidR="00844CC1" w:rsidRDefault="00844CC1" w:rsidP="00CC3CAF"/>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844CC1" w:rsidRPr="00785F18" w14:paraId="0E4EDB28" w14:textId="77777777" w:rsidTr="00E83287">
      <w:trPr>
        <w:cantSplit/>
        <w:trHeight w:hRule="exact" w:val="3340"/>
      </w:trPr>
      <w:tc>
        <w:tcPr>
          <w:tcW w:w="5640" w:type="dxa"/>
          <w:shd w:val="clear" w:color="auto" w:fill="auto"/>
        </w:tcPr>
        <w:p w14:paraId="5DB89C3E" w14:textId="77777777" w:rsidR="00844CC1" w:rsidRPr="00785F18" w:rsidRDefault="00844CC1" w:rsidP="00CC3CAF">
          <w:pPr>
            <w:ind w:left="240" w:hanging="240"/>
          </w:pPr>
        </w:p>
      </w:tc>
    </w:tr>
    <w:tr w:rsidR="00844CC1" w:rsidRPr="00844CC1" w14:paraId="713F0400" w14:textId="77777777" w:rsidTr="00E83287">
      <w:trPr>
        <w:cantSplit/>
        <w:trHeight w:hRule="exact" w:val="1440"/>
      </w:trPr>
      <w:tc>
        <w:tcPr>
          <w:tcW w:w="5640" w:type="dxa"/>
          <w:shd w:val="clear" w:color="auto" w:fill="auto"/>
        </w:tcPr>
        <w:p w14:paraId="023A3ED7" w14:textId="77777777" w:rsidR="00844CC1" w:rsidRPr="00CC3CAF" w:rsidRDefault="00844CC1" w:rsidP="00CC3CAF">
          <w:pPr>
            <w:rPr>
              <w:rStyle w:val="Huisstijl-Rubricering"/>
              <w:smallCaps w:val="0"/>
              <w:lang w:val="en-US"/>
            </w:rPr>
          </w:pPr>
        </w:p>
        <w:p w14:paraId="0F895F27" w14:textId="77777777" w:rsidR="00844CC1" w:rsidRPr="00CC3CAF" w:rsidRDefault="00844CC1" w:rsidP="00CC3CAF">
          <w:pPr>
            <w:spacing w:line="180" w:lineRule="atLeast"/>
            <w:rPr>
              <w:rStyle w:val="Huisstijl-Rubricering"/>
              <w:smallCaps w:val="0"/>
              <w:lang w:val="en-US"/>
            </w:rPr>
          </w:pPr>
        </w:p>
        <w:p w14:paraId="2414129F" w14:textId="211FB785" w:rsidR="00844CC1" w:rsidRPr="00590800" w:rsidRDefault="00844CC1" w:rsidP="00CC3CAF">
          <w:pPr>
            <w:pStyle w:val="Title"/>
            <w:rPr>
              <w:szCs w:val="24"/>
              <w:lang w:val="en-US"/>
            </w:rPr>
          </w:pPr>
          <w:r w:rsidRPr="00590800">
            <w:rPr>
              <w:szCs w:val="24"/>
              <w:lang w:val="en-US"/>
            </w:rPr>
            <w:t>Scorecard</w:t>
          </w:r>
          <w:r>
            <w:rPr>
              <w:szCs w:val="24"/>
              <w:lang w:val="en-US"/>
            </w:rPr>
            <w:t xml:space="preserve"> </w:t>
          </w:r>
          <w:r w:rsidRPr="00590800">
            <w:rPr>
              <w:rStyle w:val="SubtitleChar"/>
              <w:lang w:val="en-US"/>
            </w:rPr>
            <w:t>United Nations Development Programme</w:t>
          </w:r>
        </w:p>
        <w:p w14:paraId="311B11C3" w14:textId="77777777" w:rsidR="00844CC1" w:rsidRPr="00B36546" w:rsidRDefault="00844CC1" w:rsidP="00CC3CAF">
          <w:pPr>
            <w:rPr>
              <w:lang w:val="en-GB"/>
            </w:rPr>
          </w:pPr>
        </w:p>
        <w:p w14:paraId="768541EC" w14:textId="77777777" w:rsidR="00844CC1" w:rsidRPr="00B36546" w:rsidRDefault="00844CC1" w:rsidP="00CC3CAF">
          <w:pPr>
            <w:tabs>
              <w:tab w:val="left" w:pos="3281"/>
            </w:tabs>
            <w:rPr>
              <w:lang w:val="en-GB"/>
            </w:rPr>
          </w:pPr>
          <w:r w:rsidRPr="00B36546">
            <w:rPr>
              <w:lang w:val="en-GB"/>
            </w:rPr>
            <w:tab/>
          </w:r>
        </w:p>
      </w:tc>
    </w:tr>
    <w:tr w:rsidR="00844CC1" w:rsidRPr="00844CC1" w14:paraId="47E2D028" w14:textId="77777777" w:rsidTr="00E83287">
      <w:trPr>
        <w:cantSplit/>
        <w:trHeight w:hRule="exact" w:val="240"/>
      </w:trPr>
      <w:tc>
        <w:tcPr>
          <w:tcW w:w="5640" w:type="dxa"/>
          <w:shd w:val="clear" w:color="auto" w:fill="auto"/>
        </w:tcPr>
        <w:p w14:paraId="19896B37" w14:textId="77777777" w:rsidR="00844CC1" w:rsidRPr="00B36546" w:rsidRDefault="00844CC1" w:rsidP="00CC3CAF">
          <w:pPr>
            <w:rPr>
              <w:lang w:val="en-GB"/>
            </w:rPr>
          </w:pPr>
        </w:p>
      </w:tc>
    </w:tr>
    <w:tr w:rsidR="00844CC1" w:rsidRPr="00844CC1" w14:paraId="5201F22C" w14:textId="77777777" w:rsidTr="00E83287">
      <w:trPr>
        <w:cantSplit/>
        <w:trHeight w:hRule="exact" w:val="480"/>
      </w:trPr>
      <w:tc>
        <w:tcPr>
          <w:tcW w:w="5640" w:type="dxa"/>
          <w:shd w:val="clear" w:color="auto" w:fill="auto"/>
        </w:tcPr>
        <w:p w14:paraId="63586AB1" w14:textId="77777777" w:rsidR="00844CC1" w:rsidRPr="00B36546" w:rsidRDefault="00844CC1" w:rsidP="00CC3CAF">
          <w:pPr>
            <w:rPr>
              <w:lang w:val="en-GB"/>
            </w:rPr>
          </w:pPr>
        </w:p>
      </w:tc>
    </w:tr>
  </w:tbl>
  <w:p w14:paraId="2FB47513" w14:textId="30D584C3" w:rsidR="00844CC1" w:rsidRDefault="00844CC1" w:rsidP="00CC3CAF">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15 augustus 2017</w:t>
    </w:r>
  </w:p>
  <w:p w14:paraId="7246D60B" w14:textId="77777777" w:rsidR="00844CC1" w:rsidRPr="008517DE" w:rsidRDefault="00844CC1" w:rsidP="00E5195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15:restartNumberingAfterBreak="0">
    <w:nsid w:val="03BB5F57"/>
    <w:multiLevelType w:val="multilevel"/>
    <w:tmpl w:val="5AEEDE88"/>
    <w:numStyleLink w:val="StyleBulleted"/>
  </w:abstractNum>
  <w:abstractNum w:abstractNumId="2" w15:restartNumberingAfterBreak="0">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15:restartNumberingAfterBreak="0">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0B51873"/>
    <w:multiLevelType w:val="hybridMultilevel"/>
    <w:tmpl w:val="75B881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6" w15:restartNumberingAfterBreak="0">
    <w:nsid w:val="13100EB3"/>
    <w:multiLevelType w:val="hybridMultilevel"/>
    <w:tmpl w:val="EEDAE4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623655D"/>
    <w:multiLevelType w:val="multilevel"/>
    <w:tmpl w:val="5AEEDE88"/>
    <w:numStyleLink w:val="StyleBulleted"/>
  </w:abstractNum>
  <w:abstractNum w:abstractNumId="8" w15:restartNumberingAfterBreak="0">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8D67337"/>
    <w:multiLevelType w:val="hybridMultilevel"/>
    <w:tmpl w:val="B88A14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A5A20BC"/>
    <w:multiLevelType w:val="multilevel"/>
    <w:tmpl w:val="5AEEDE88"/>
    <w:numStyleLink w:val="StyleBulleted"/>
  </w:abstractNum>
  <w:abstractNum w:abstractNumId="11" w15:restartNumberingAfterBreak="0">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3" w15:restartNumberingAfterBreak="0">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8E5206"/>
    <w:multiLevelType w:val="hybridMultilevel"/>
    <w:tmpl w:val="0CE4D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2F82FF2"/>
    <w:multiLevelType w:val="multilevel"/>
    <w:tmpl w:val="5AEEDE88"/>
    <w:numStyleLink w:val="StyleBulleted"/>
  </w:abstractNum>
  <w:abstractNum w:abstractNumId="16" w15:restartNumberingAfterBreak="0">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72E4A80"/>
    <w:multiLevelType w:val="hybridMultilevel"/>
    <w:tmpl w:val="C316A3A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D252272"/>
    <w:multiLevelType w:val="hybridMultilevel"/>
    <w:tmpl w:val="54722DB6"/>
    <w:lvl w:ilvl="0" w:tplc="0413000F">
      <w:start w:val="1"/>
      <w:numFmt w:val="decimal"/>
      <w:lvlText w:val="%1."/>
      <w:lvlJc w:val="left"/>
      <w:pPr>
        <w:ind w:left="1146" w:hanging="360"/>
      </w:pPr>
    </w:lvl>
    <w:lvl w:ilvl="1" w:tplc="04130019" w:tentative="1">
      <w:start w:val="1"/>
      <w:numFmt w:val="lowerLetter"/>
      <w:lvlText w:val="%2."/>
      <w:lvlJc w:val="left"/>
      <w:pPr>
        <w:ind w:left="1866" w:hanging="360"/>
      </w:pPr>
    </w:lvl>
    <w:lvl w:ilvl="2" w:tplc="0413001B" w:tentative="1">
      <w:start w:val="1"/>
      <w:numFmt w:val="lowerRoman"/>
      <w:lvlText w:val="%3."/>
      <w:lvlJc w:val="right"/>
      <w:pPr>
        <w:ind w:left="2586" w:hanging="180"/>
      </w:pPr>
    </w:lvl>
    <w:lvl w:ilvl="3" w:tplc="0413000F" w:tentative="1">
      <w:start w:val="1"/>
      <w:numFmt w:val="decimal"/>
      <w:lvlText w:val="%4."/>
      <w:lvlJc w:val="left"/>
      <w:pPr>
        <w:ind w:left="3306" w:hanging="360"/>
      </w:pPr>
    </w:lvl>
    <w:lvl w:ilvl="4" w:tplc="04130019" w:tentative="1">
      <w:start w:val="1"/>
      <w:numFmt w:val="lowerLetter"/>
      <w:lvlText w:val="%5."/>
      <w:lvlJc w:val="left"/>
      <w:pPr>
        <w:ind w:left="4026" w:hanging="360"/>
      </w:pPr>
    </w:lvl>
    <w:lvl w:ilvl="5" w:tplc="0413001B" w:tentative="1">
      <w:start w:val="1"/>
      <w:numFmt w:val="lowerRoman"/>
      <w:lvlText w:val="%6."/>
      <w:lvlJc w:val="right"/>
      <w:pPr>
        <w:ind w:left="4746" w:hanging="180"/>
      </w:pPr>
    </w:lvl>
    <w:lvl w:ilvl="6" w:tplc="0413000F" w:tentative="1">
      <w:start w:val="1"/>
      <w:numFmt w:val="decimal"/>
      <w:lvlText w:val="%7."/>
      <w:lvlJc w:val="left"/>
      <w:pPr>
        <w:ind w:left="5466" w:hanging="360"/>
      </w:pPr>
    </w:lvl>
    <w:lvl w:ilvl="7" w:tplc="04130019" w:tentative="1">
      <w:start w:val="1"/>
      <w:numFmt w:val="lowerLetter"/>
      <w:lvlText w:val="%8."/>
      <w:lvlJc w:val="left"/>
      <w:pPr>
        <w:ind w:left="6186" w:hanging="360"/>
      </w:pPr>
    </w:lvl>
    <w:lvl w:ilvl="8" w:tplc="0413001B" w:tentative="1">
      <w:start w:val="1"/>
      <w:numFmt w:val="lowerRoman"/>
      <w:lvlText w:val="%9."/>
      <w:lvlJc w:val="right"/>
      <w:pPr>
        <w:ind w:left="6906" w:hanging="180"/>
      </w:pPr>
    </w:lvl>
  </w:abstractNum>
  <w:abstractNum w:abstractNumId="19" w15:restartNumberingAfterBreak="0">
    <w:nsid w:val="2FF1791E"/>
    <w:multiLevelType w:val="hybridMultilevel"/>
    <w:tmpl w:val="8340A09A"/>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0" w15:restartNumberingAfterBreak="0">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1" w15:restartNumberingAfterBreak="0">
    <w:nsid w:val="329C4ACF"/>
    <w:multiLevelType w:val="hybridMultilevel"/>
    <w:tmpl w:val="16D89C8E"/>
    <w:lvl w:ilvl="0" w:tplc="6DF82CD0">
      <w:start w:val="1"/>
      <w:numFmt w:val="decimal"/>
      <w:lvlText w:val="%1."/>
      <w:lvlJc w:val="left"/>
      <w:pPr>
        <w:ind w:left="1080" w:hanging="360"/>
      </w:pPr>
      <w:rPr>
        <w:b w:val="0"/>
      </w:r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15:restartNumberingAfterBreak="0">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3" w15:restartNumberingAfterBreak="0">
    <w:nsid w:val="38752550"/>
    <w:multiLevelType w:val="hybridMultilevel"/>
    <w:tmpl w:val="9C80422A"/>
    <w:lvl w:ilvl="0" w:tplc="17B82BD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6" w15:restartNumberingAfterBreak="0">
    <w:nsid w:val="408335F4"/>
    <w:multiLevelType w:val="multilevel"/>
    <w:tmpl w:val="5AEEDE88"/>
    <w:numStyleLink w:val="StyleBulleted"/>
  </w:abstractNum>
  <w:abstractNum w:abstractNumId="27" w15:restartNumberingAfterBreak="0">
    <w:nsid w:val="42394EC7"/>
    <w:multiLevelType w:val="hybridMultilevel"/>
    <w:tmpl w:val="D6B21DFE"/>
    <w:lvl w:ilvl="0" w:tplc="0413000F">
      <w:start w:val="1"/>
      <w:numFmt w:val="decimal"/>
      <w:lvlText w:val="%1."/>
      <w:lvlJc w:val="left"/>
      <w:pPr>
        <w:ind w:left="587" w:hanging="360"/>
      </w:pPr>
    </w:lvl>
    <w:lvl w:ilvl="1" w:tplc="04130019" w:tentative="1">
      <w:start w:val="1"/>
      <w:numFmt w:val="lowerLetter"/>
      <w:lvlText w:val="%2."/>
      <w:lvlJc w:val="left"/>
      <w:pPr>
        <w:ind w:left="1307" w:hanging="360"/>
      </w:pPr>
    </w:lvl>
    <w:lvl w:ilvl="2" w:tplc="0413001B" w:tentative="1">
      <w:start w:val="1"/>
      <w:numFmt w:val="lowerRoman"/>
      <w:lvlText w:val="%3."/>
      <w:lvlJc w:val="right"/>
      <w:pPr>
        <w:ind w:left="2027" w:hanging="180"/>
      </w:pPr>
    </w:lvl>
    <w:lvl w:ilvl="3" w:tplc="0413000F" w:tentative="1">
      <w:start w:val="1"/>
      <w:numFmt w:val="decimal"/>
      <w:lvlText w:val="%4."/>
      <w:lvlJc w:val="left"/>
      <w:pPr>
        <w:ind w:left="2747" w:hanging="360"/>
      </w:pPr>
    </w:lvl>
    <w:lvl w:ilvl="4" w:tplc="04130019" w:tentative="1">
      <w:start w:val="1"/>
      <w:numFmt w:val="lowerLetter"/>
      <w:lvlText w:val="%5."/>
      <w:lvlJc w:val="left"/>
      <w:pPr>
        <w:ind w:left="3467" w:hanging="360"/>
      </w:pPr>
    </w:lvl>
    <w:lvl w:ilvl="5" w:tplc="0413001B" w:tentative="1">
      <w:start w:val="1"/>
      <w:numFmt w:val="lowerRoman"/>
      <w:lvlText w:val="%6."/>
      <w:lvlJc w:val="right"/>
      <w:pPr>
        <w:ind w:left="4187" w:hanging="180"/>
      </w:pPr>
    </w:lvl>
    <w:lvl w:ilvl="6" w:tplc="0413000F" w:tentative="1">
      <w:start w:val="1"/>
      <w:numFmt w:val="decimal"/>
      <w:lvlText w:val="%7."/>
      <w:lvlJc w:val="left"/>
      <w:pPr>
        <w:ind w:left="4907" w:hanging="360"/>
      </w:pPr>
    </w:lvl>
    <w:lvl w:ilvl="7" w:tplc="04130019" w:tentative="1">
      <w:start w:val="1"/>
      <w:numFmt w:val="lowerLetter"/>
      <w:lvlText w:val="%8."/>
      <w:lvlJc w:val="left"/>
      <w:pPr>
        <w:ind w:left="5627" w:hanging="360"/>
      </w:pPr>
    </w:lvl>
    <w:lvl w:ilvl="8" w:tplc="0413001B" w:tentative="1">
      <w:start w:val="1"/>
      <w:numFmt w:val="lowerRoman"/>
      <w:lvlText w:val="%9."/>
      <w:lvlJc w:val="right"/>
      <w:pPr>
        <w:ind w:left="6347" w:hanging="180"/>
      </w:pPr>
    </w:lvl>
  </w:abstractNum>
  <w:abstractNum w:abstractNumId="28" w15:restartNumberingAfterBreak="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9" w15:restartNumberingAfterBreak="0">
    <w:nsid w:val="4D5F03CE"/>
    <w:multiLevelType w:val="hybridMultilevel"/>
    <w:tmpl w:val="6422F03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4E153E44"/>
    <w:multiLevelType w:val="hybridMultilevel"/>
    <w:tmpl w:val="0A604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E207249"/>
    <w:multiLevelType w:val="hybridMultilevel"/>
    <w:tmpl w:val="69405766"/>
    <w:lvl w:ilvl="0" w:tplc="8BF24382">
      <w:start w:val="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FCA43B3"/>
    <w:multiLevelType w:val="multilevel"/>
    <w:tmpl w:val="F35484AC"/>
    <w:lvl w:ilvl="0">
      <w:start w:val="1"/>
      <w:numFmt w:val="decimal"/>
      <w:lvlText w:val="%1."/>
      <w:lvlJc w:val="left"/>
      <w:pPr>
        <w:tabs>
          <w:tab w:val="num" w:pos="227"/>
        </w:tabs>
        <w:ind w:left="227" w:hanging="227"/>
      </w:pPr>
      <w:rPr>
        <w:rFonts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3" w15:restartNumberingAfterBreak="0">
    <w:nsid w:val="51893976"/>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4" w15:restartNumberingAfterBreak="0">
    <w:nsid w:val="54950D35"/>
    <w:multiLevelType w:val="multilevel"/>
    <w:tmpl w:val="E2A0B03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5" w15:restartNumberingAfterBreak="0">
    <w:nsid w:val="55747D6E"/>
    <w:multiLevelType w:val="multilevel"/>
    <w:tmpl w:val="80FCD158"/>
    <w:lvl w:ilvl="0">
      <w:start w:val="3"/>
      <w:numFmt w:val="decimal"/>
      <w:lvlText w:val="%1"/>
      <w:lvlJc w:val="left"/>
      <w:pPr>
        <w:ind w:left="-802" w:hanging="360"/>
      </w:pPr>
      <w:rPr>
        <w:rFonts w:hint="default"/>
      </w:rPr>
    </w:lvl>
    <w:lvl w:ilvl="1">
      <w:start w:val="1"/>
      <w:numFmt w:val="decimal"/>
      <w:isLgl/>
      <w:lvlText w:val="%1.%2"/>
      <w:lvlJc w:val="left"/>
      <w:pPr>
        <w:ind w:left="-2" w:hanging="1160"/>
      </w:pPr>
      <w:rPr>
        <w:rFonts w:hint="default"/>
      </w:rPr>
    </w:lvl>
    <w:lvl w:ilvl="2">
      <w:start w:val="1"/>
      <w:numFmt w:val="decimal"/>
      <w:isLgl/>
      <w:lvlText w:val="%1.%2.%3"/>
      <w:lvlJc w:val="left"/>
      <w:pPr>
        <w:ind w:left="-2" w:hanging="1160"/>
      </w:pPr>
      <w:rPr>
        <w:rFonts w:hint="default"/>
      </w:rPr>
    </w:lvl>
    <w:lvl w:ilvl="3">
      <w:start w:val="1"/>
      <w:numFmt w:val="decimal"/>
      <w:isLgl/>
      <w:lvlText w:val="%1.%2.%3.%4"/>
      <w:lvlJc w:val="left"/>
      <w:pPr>
        <w:ind w:left="-2" w:hanging="1160"/>
      </w:pPr>
      <w:rPr>
        <w:rFonts w:hint="default"/>
      </w:rPr>
    </w:lvl>
    <w:lvl w:ilvl="4">
      <w:start w:val="1"/>
      <w:numFmt w:val="decimal"/>
      <w:isLgl/>
      <w:lvlText w:val="%1.%2.%3.%4.%5"/>
      <w:lvlJc w:val="left"/>
      <w:pPr>
        <w:ind w:left="-2" w:hanging="1160"/>
      </w:pPr>
      <w:rPr>
        <w:rFonts w:hint="default"/>
      </w:rPr>
    </w:lvl>
    <w:lvl w:ilvl="5">
      <w:start w:val="1"/>
      <w:numFmt w:val="decimal"/>
      <w:isLgl/>
      <w:lvlText w:val="%1.%2.%3.%4.%5.%6"/>
      <w:lvlJc w:val="left"/>
      <w:pPr>
        <w:ind w:left="278" w:hanging="1440"/>
      </w:pPr>
      <w:rPr>
        <w:rFonts w:hint="default"/>
      </w:rPr>
    </w:lvl>
    <w:lvl w:ilvl="6">
      <w:start w:val="1"/>
      <w:numFmt w:val="decimal"/>
      <w:isLgl/>
      <w:lvlText w:val="%1.%2.%3.%4.%5.%6.%7"/>
      <w:lvlJc w:val="left"/>
      <w:pPr>
        <w:ind w:left="278" w:hanging="1440"/>
      </w:pPr>
      <w:rPr>
        <w:rFonts w:hint="default"/>
      </w:rPr>
    </w:lvl>
    <w:lvl w:ilvl="7">
      <w:start w:val="1"/>
      <w:numFmt w:val="decimal"/>
      <w:isLgl/>
      <w:lvlText w:val="%1.%2.%3.%4.%5.%6.%7.%8"/>
      <w:lvlJc w:val="left"/>
      <w:pPr>
        <w:ind w:left="638" w:hanging="1800"/>
      </w:pPr>
      <w:rPr>
        <w:rFonts w:hint="default"/>
      </w:rPr>
    </w:lvl>
    <w:lvl w:ilvl="8">
      <w:start w:val="1"/>
      <w:numFmt w:val="decimal"/>
      <w:isLgl/>
      <w:lvlText w:val="%1.%2.%3.%4.%5.%6.%7.%8.%9"/>
      <w:lvlJc w:val="left"/>
      <w:pPr>
        <w:ind w:left="998" w:hanging="2160"/>
      </w:pPr>
      <w:rPr>
        <w:rFonts w:hint="default"/>
      </w:rPr>
    </w:lvl>
  </w:abstractNum>
  <w:abstractNum w:abstractNumId="36" w15:restartNumberingAfterBreak="0">
    <w:nsid w:val="5D750EE7"/>
    <w:multiLevelType w:val="multilevel"/>
    <w:tmpl w:val="5AEEDE88"/>
    <w:numStyleLink w:val="StyleBulleted"/>
  </w:abstractNum>
  <w:abstractNum w:abstractNumId="37" w15:restartNumberingAfterBreak="0">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38" w15:restartNumberingAfterBreak="0">
    <w:nsid w:val="63404D5D"/>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39" w15:restartNumberingAfterBreak="0">
    <w:nsid w:val="63A20AAC"/>
    <w:multiLevelType w:val="multilevel"/>
    <w:tmpl w:val="5AEEDE88"/>
    <w:numStyleLink w:val="StyleBulleted"/>
  </w:abstractNum>
  <w:abstractNum w:abstractNumId="40" w15:restartNumberingAfterBreak="0">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41" w15:restartNumberingAfterBreak="0">
    <w:nsid w:val="66830104"/>
    <w:multiLevelType w:val="hybridMultilevel"/>
    <w:tmpl w:val="521C8E36"/>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42" w15:restartNumberingAfterBreak="0">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43" w15:restartNumberingAfterBreak="0">
    <w:nsid w:val="6D193965"/>
    <w:multiLevelType w:val="multilevel"/>
    <w:tmpl w:val="5AEEDE88"/>
    <w:numStyleLink w:val="StyleBulleted"/>
  </w:abstractNum>
  <w:abstractNum w:abstractNumId="44" w15:restartNumberingAfterBreak="0">
    <w:nsid w:val="6F1B2CBC"/>
    <w:multiLevelType w:val="multilevel"/>
    <w:tmpl w:val="5AEEDE88"/>
    <w:numStyleLink w:val="StyleBulleted"/>
  </w:abstractNum>
  <w:abstractNum w:abstractNumId="45" w15:restartNumberingAfterBreak="0">
    <w:nsid w:val="71A63D8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46" w15:restartNumberingAfterBreak="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47" w15:restartNumberingAfterBreak="0">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BA00343"/>
    <w:multiLevelType w:val="hybridMultilevel"/>
    <w:tmpl w:val="BBDA40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7"/>
  </w:num>
  <w:num w:numId="2">
    <w:abstractNumId w:val="40"/>
  </w:num>
  <w:num w:numId="3">
    <w:abstractNumId w:val="25"/>
  </w:num>
  <w:num w:numId="4">
    <w:abstractNumId w:val="0"/>
  </w:num>
  <w:num w:numId="5">
    <w:abstractNumId w:val="42"/>
  </w:num>
  <w:num w:numId="6">
    <w:abstractNumId w:val="2"/>
  </w:num>
  <w:num w:numId="7">
    <w:abstractNumId w:val="13"/>
  </w:num>
  <w:num w:numId="8">
    <w:abstractNumId w:val="44"/>
  </w:num>
  <w:num w:numId="9">
    <w:abstractNumId w:val="39"/>
  </w:num>
  <w:num w:numId="10">
    <w:abstractNumId w:val="15"/>
  </w:num>
  <w:num w:numId="11">
    <w:abstractNumId w:val="7"/>
  </w:num>
  <w:num w:numId="12">
    <w:abstractNumId w:val="43"/>
  </w:num>
  <w:num w:numId="13">
    <w:abstractNumId w:val="22"/>
  </w:num>
  <w:num w:numId="14">
    <w:abstractNumId w:val="1"/>
  </w:num>
  <w:num w:numId="15">
    <w:abstractNumId w:val="10"/>
  </w:num>
  <w:num w:numId="16">
    <w:abstractNumId w:val="38"/>
  </w:num>
  <w:num w:numId="17">
    <w:abstractNumId w:val="26"/>
  </w:num>
  <w:num w:numId="18">
    <w:abstractNumId w:val="36"/>
  </w:num>
  <w:num w:numId="19">
    <w:abstractNumId w:val="20"/>
  </w:num>
  <w:num w:numId="20">
    <w:abstractNumId w:val="46"/>
  </w:num>
  <w:num w:numId="21">
    <w:abstractNumId w:val="5"/>
  </w:num>
  <w:num w:numId="22">
    <w:abstractNumId w:val="28"/>
  </w:num>
  <w:num w:numId="23">
    <w:abstractNumId w:val="47"/>
  </w:num>
  <w:num w:numId="24">
    <w:abstractNumId w:val="16"/>
  </w:num>
  <w:num w:numId="25">
    <w:abstractNumId w:val="16"/>
  </w:num>
  <w:num w:numId="26">
    <w:abstractNumId w:val="12"/>
  </w:num>
  <w:num w:numId="27">
    <w:abstractNumId w:val="11"/>
  </w:num>
  <w:num w:numId="28">
    <w:abstractNumId w:val="8"/>
  </w:num>
  <w:num w:numId="29">
    <w:abstractNumId w:val="6"/>
  </w:num>
  <w:num w:numId="30">
    <w:abstractNumId w:val="3"/>
  </w:num>
  <w:num w:numId="31">
    <w:abstractNumId w:val="24"/>
  </w:num>
  <w:num w:numId="32">
    <w:abstractNumId w:val="23"/>
  </w:num>
  <w:num w:numId="33">
    <w:abstractNumId w:val="17"/>
  </w:num>
  <w:num w:numId="34">
    <w:abstractNumId w:val="48"/>
  </w:num>
  <w:num w:numId="35">
    <w:abstractNumId w:val="4"/>
  </w:num>
  <w:num w:numId="36">
    <w:abstractNumId w:val="31"/>
  </w:num>
  <w:num w:numId="37">
    <w:abstractNumId w:val="45"/>
  </w:num>
  <w:num w:numId="38">
    <w:abstractNumId w:val="14"/>
  </w:num>
  <w:num w:numId="39">
    <w:abstractNumId w:val="30"/>
  </w:num>
  <w:num w:numId="40">
    <w:abstractNumId w:val="32"/>
  </w:num>
  <w:num w:numId="41">
    <w:abstractNumId w:val="33"/>
  </w:num>
  <w:num w:numId="42">
    <w:abstractNumId w:val="34"/>
  </w:num>
  <w:num w:numId="43">
    <w:abstractNumId w:val="9"/>
  </w:num>
  <w:num w:numId="44">
    <w:abstractNumId w:val="21"/>
  </w:num>
  <w:num w:numId="45">
    <w:abstractNumId w:val="19"/>
  </w:num>
  <w:num w:numId="46">
    <w:abstractNumId w:val="41"/>
  </w:num>
  <w:num w:numId="47">
    <w:abstractNumId w:val="18"/>
  </w:num>
  <w:num w:numId="48">
    <w:abstractNumId w:val="27"/>
  </w:num>
  <w:num w:numId="49">
    <w:abstractNumId w:val="29"/>
  </w:num>
  <w:num w:numId="50">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nl-NL" w:vendorID="64" w:dllVersion="131078" w:nlCheck="1" w:checkStyle="0"/>
  <w:activeWritingStyle w:appName="MSWord" w:lang="en-US" w:vendorID="64" w:dllVersion="131078" w:nlCheck="1" w:checkStyle="1"/>
  <w:activeWritingStyle w:appName="MSWord" w:lang="en-GB"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8704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18"/>
    <w:rsid w:val="0000367D"/>
    <w:rsid w:val="0000392E"/>
    <w:rsid w:val="00003A32"/>
    <w:rsid w:val="00005884"/>
    <w:rsid w:val="00006E47"/>
    <w:rsid w:val="0001095C"/>
    <w:rsid w:val="000114F8"/>
    <w:rsid w:val="00013196"/>
    <w:rsid w:val="00016C57"/>
    <w:rsid w:val="00020189"/>
    <w:rsid w:val="00020EE4"/>
    <w:rsid w:val="000210F3"/>
    <w:rsid w:val="00021472"/>
    <w:rsid w:val="000227EB"/>
    <w:rsid w:val="000234D6"/>
    <w:rsid w:val="0002628D"/>
    <w:rsid w:val="00026447"/>
    <w:rsid w:val="0002695C"/>
    <w:rsid w:val="000304C1"/>
    <w:rsid w:val="00031268"/>
    <w:rsid w:val="00032C0E"/>
    <w:rsid w:val="00033419"/>
    <w:rsid w:val="00033426"/>
    <w:rsid w:val="00033950"/>
    <w:rsid w:val="00033E8D"/>
    <w:rsid w:val="000348E0"/>
    <w:rsid w:val="00034A84"/>
    <w:rsid w:val="00035E67"/>
    <w:rsid w:val="0004192F"/>
    <w:rsid w:val="000422E7"/>
    <w:rsid w:val="00044809"/>
    <w:rsid w:val="00045A4F"/>
    <w:rsid w:val="00046866"/>
    <w:rsid w:val="00047318"/>
    <w:rsid w:val="0005061F"/>
    <w:rsid w:val="00050ABD"/>
    <w:rsid w:val="00050B6A"/>
    <w:rsid w:val="00051416"/>
    <w:rsid w:val="000526E6"/>
    <w:rsid w:val="000559DE"/>
    <w:rsid w:val="00057B03"/>
    <w:rsid w:val="0006027D"/>
    <w:rsid w:val="000605A3"/>
    <w:rsid w:val="00066F2B"/>
    <w:rsid w:val="0006700B"/>
    <w:rsid w:val="000705D1"/>
    <w:rsid w:val="00071F28"/>
    <w:rsid w:val="00072371"/>
    <w:rsid w:val="0007383E"/>
    <w:rsid w:val="00076FCC"/>
    <w:rsid w:val="00077900"/>
    <w:rsid w:val="00080AE8"/>
    <w:rsid w:val="00081825"/>
    <w:rsid w:val="00081DD4"/>
    <w:rsid w:val="0008255C"/>
    <w:rsid w:val="00082BB1"/>
    <w:rsid w:val="000842B5"/>
    <w:rsid w:val="000842F4"/>
    <w:rsid w:val="00085B71"/>
    <w:rsid w:val="00085F22"/>
    <w:rsid w:val="0008640E"/>
    <w:rsid w:val="00086CCA"/>
    <w:rsid w:val="0008784B"/>
    <w:rsid w:val="00087FA0"/>
    <w:rsid w:val="000903DE"/>
    <w:rsid w:val="00090808"/>
    <w:rsid w:val="0009114D"/>
    <w:rsid w:val="000912C6"/>
    <w:rsid w:val="000924C1"/>
    <w:rsid w:val="00092760"/>
    <w:rsid w:val="00093522"/>
    <w:rsid w:val="00094518"/>
    <w:rsid w:val="00094A14"/>
    <w:rsid w:val="00094B45"/>
    <w:rsid w:val="00096680"/>
    <w:rsid w:val="00096F6B"/>
    <w:rsid w:val="00097B3F"/>
    <w:rsid w:val="000A01F6"/>
    <w:rsid w:val="000A0BB1"/>
    <w:rsid w:val="000A22CF"/>
    <w:rsid w:val="000A27FF"/>
    <w:rsid w:val="000A2DF7"/>
    <w:rsid w:val="000A381C"/>
    <w:rsid w:val="000A3AF6"/>
    <w:rsid w:val="000B2A0F"/>
    <w:rsid w:val="000B477F"/>
    <w:rsid w:val="000B62D7"/>
    <w:rsid w:val="000B64F8"/>
    <w:rsid w:val="000B7281"/>
    <w:rsid w:val="000B73BA"/>
    <w:rsid w:val="000C05BF"/>
    <w:rsid w:val="000C0757"/>
    <w:rsid w:val="000C07A1"/>
    <w:rsid w:val="000C082E"/>
    <w:rsid w:val="000C0FB6"/>
    <w:rsid w:val="000C3F40"/>
    <w:rsid w:val="000C43A2"/>
    <w:rsid w:val="000C4679"/>
    <w:rsid w:val="000C521E"/>
    <w:rsid w:val="000C575D"/>
    <w:rsid w:val="000C5810"/>
    <w:rsid w:val="000C5E4F"/>
    <w:rsid w:val="000C6EED"/>
    <w:rsid w:val="000D2C16"/>
    <w:rsid w:val="000D3986"/>
    <w:rsid w:val="000D3F19"/>
    <w:rsid w:val="000D53B9"/>
    <w:rsid w:val="000D7BB7"/>
    <w:rsid w:val="000E06C0"/>
    <w:rsid w:val="000E15AA"/>
    <w:rsid w:val="000E21AD"/>
    <w:rsid w:val="000E44B5"/>
    <w:rsid w:val="000E5D6B"/>
    <w:rsid w:val="000F03D7"/>
    <w:rsid w:val="000F1533"/>
    <w:rsid w:val="000F1A72"/>
    <w:rsid w:val="000F2632"/>
    <w:rsid w:val="000F46A7"/>
    <w:rsid w:val="000F4B53"/>
    <w:rsid w:val="000F53BE"/>
    <w:rsid w:val="000F6168"/>
    <w:rsid w:val="00101F98"/>
    <w:rsid w:val="00102B2B"/>
    <w:rsid w:val="00102DFB"/>
    <w:rsid w:val="001031E7"/>
    <w:rsid w:val="00104517"/>
    <w:rsid w:val="001069BA"/>
    <w:rsid w:val="00107EB4"/>
    <w:rsid w:val="00112250"/>
    <w:rsid w:val="00116E2A"/>
    <w:rsid w:val="00120AD8"/>
    <w:rsid w:val="001210BF"/>
    <w:rsid w:val="00121AD6"/>
    <w:rsid w:val="00122BDB"/>
    <w:rsid w:val="00123082"/>
    <w:rsid w:val="00123704"/>
    <w:rsid w:val="00124B64"/>
    <w:rsid w:val="00125028"/>
    <w:rsid w:val="00125154"/>
    <w:rsid w:val="00125A07"/>
    <w:rsid w:val="001270C7"/>
    <w:rsid w:val="00130DA2"/>
    <w:rsid w:val="00131D1F"/>
    <w:rsid w:val="00134D07"/>
    <w:rsid w:val="00136130"/>
    <w:rsid w:val="00136D94"/>
    <w:rsid w:val="0014161D"/>
    <w:rsid w:val="00142259"/>
    <w:rsid w:val="00142628"/>
    <w:rsid w:val="00142859"/>
    <w:rsid w:val="001429A1"/>
    <w:rsid w:val="00142BCD"/>
    <w:rsid w:val="00144379"/>
    <w:rsid w:val="0014786A"/>
    <w:rsid w:val="0015109B"/>
    <w:rsid w:val="001516A4"/>
    <w:rsid w:val="00154AD8"/>
    <w:rsid w:val="00163142"/>
    <w:rsid w:val="00163F42"/>
    <w:rsid w:val="00163F5B"/>
    <w:rsid w:val="00163FA2"/>
    <w:rsid w:val="00163FF4"/>
    <w:rsid w:val="00164384"/>
    <w:rsid w:val="00164D75"/>
    <w:rsid w:val="00165BCD"/>
    <w:rsid w:val="00165BCE"/>
    <w:rsid w:val="00165D0A"/>
    <w:rsid w:val="00166242"/>
    <w:rsid w:val="00167F79"/>
    <w:rsid w:val="00171AFC"/>
    <w:rsid w:val="0017249E"/>
    <w:rsid w:val="001739A0"/>
    <w:rsid w:val="001753DD"/>
    <w:rsid w:val="001802CA"/>
    <w:rsid w:val="00180CBA"/>
    <w:rsid w:val="00181629"/>
    <w:rsid w:val="00181A35"/>
    <w:rsid w:val="00182C7C"/>
    <w:rsid w:val="00183CBA"/>
    <w:rsid w:val="00183FB1"/>
    <w:rsid w:val="0018535A"/>
    <w:rsid w:val="00185576"/>
    <w:rsid w:val="00185951"/>
    <w:rsid w:val="00186ADD"/>
    <w:rsid w:val="0019000D"/>
    <w:rsid w:val="00191587"/>
    <w:rsid w:val="00192687"/>
    <w:rsid w:val="0019336F"/>
    <w:rsid w:val="00193994"/>
    <w:rsid w:val="00194809"/>
    <w:rsid w:val="001952F9"/>
    <w:rsid w:val="00195B13"/>
    <w:rsid w:val="001A1CD1"/>
    <w:rsid w:val="001A2505"/>
    <w:rsid w:val="001A4CE3"/>
    <w:rsid w:val="001A5422"/>
    <w:rsid w:val="001A68B1"/>
    <w:rsid w:val="001B0189"/>
    <w:rsid w:val="001B01D9"/>
    <w:rsid w:val="001B1B4E"/>
    <w:rsid w:val="001B2C4B"/>
    <w:rsid w:val="001B3F2F"/>
    <w:rsid w:val="001B5DC5"/>
    <w:rsid w:val="001B793F"/>
    <w:rsid w:val="001B7D7E"/>
    <w:rsid w:val="001C0CF4"/>
    <w:rsid w:val="001C1AF8"/>
    <w:rsid w:val="001C3DBE"/>
    <w:rsid w:val="001C3DE6"/>
    <w:rsid w:val="001C47F8"/>
    <w:rsid w:val="001C49CC"/>
    <w:rsid w:val="001C4EF0"/>
    <w:rsid w:val="001C6550"/>
    <w:rsid w:val="001C793E"/>
    <w:rsid w:val="001D0371"/>
    <w:rsid w:val="001D0FB6"/>
    <w:rsid w:val="001D288C"/>
    <w:rsid w:val="001D5178"/>
    <w:rsid w:val="001D7F60"/>
    <w:rsid w:val="001E1E35"/>
    <w:rsid w:val="001E2B9C"/>
    <w:rsid w:val="001E34C6"/>
    <w:rsid w:val="001E5581"/>
    <w:rsid w:val="001E73BA"/>
    <w:rsid w:val="001F0250"/>
    <w:rsid w:val="001F0D75"/>
    <w:rsid w:val="001F2538"/>
    <w:rsid w:val="001F3AD3"/>
    <w:rsid w:val="001F4D72"/>
    <w:rsid w:val="001F562C"/>
    <w:rsid w:val="001F583B"/>
    <w:rsid w:val="001F6340"/>
    <w:rsid w:val="002068BD"/>
    <w:rsid w:val="00210629"/>
    <w:rsid w:val="00211122"/>
    <w:rsid w:val="002121BE"/>
    <w:rsid w:val="0021384A"/>
    <w:rsid w:val="00216302"/>
    <w:rsid w:val="002165AB"/>
    <w:rsid w:val="00216ADD"/>
    <w:rsid w:val="002200C2"/>
    <w:rsid w:val="002212B1"/>
    <w:rsid w:val="00221806"/>
    <w:rsid w:val="002222A2"/>
    <w:rsid w:val="00222712"/>
    <w:rsid w:val="0022295F"/>
    <w:rsid w:val="00222E40"/>
    <w:rsid w:val="00223E42"/>
    <w:rsid w:val="00223FD8"/>
    <w:rsid w:val="0022714D"/>
    <w:rsid w:val="00230C50"/>
    <w:rsid w:val="00234DF4"/>
    <w:rsid w:val="00234F48"/>
    <w:rsid w:val="002370AA"/>
    <w:rsid w:val="00237401"/>
    <w:rsid w:val="00237F45"/>
    <w:rsid w:val="0024163C"/>
    <w:rsid w:val="00242356"/>
    <w:rsid w:val="002428E3"/>
    <w:rsid w:val="0024331E"/>
    <w:rsid w:val="002472F2"/>
    <w:rsid w:val="00247458"/>
    <w:rsid w:val="0025034D"/>
    <w:rsid w:val="00254103"/>
    <w:rsid w:val="002568BC"/>
    <w:rsid w:val="00256E73"/>
    <w:rsid w:val="002579E2"/>
    <w:rsid w:val="00260BAF"/>
    <w:rsid w:val="00261F77"/>
    <w:rsid w:val="002633CA"/>
    <w:rsid w:val="002644F5"/>
    <w:rsid w:val="00264CB9"/>
    <w:rsid w:val="002650F7"/>
    <w:rsid w:val="00266018"/>
    <w:rsid w:val="00267BA5"/>
    <w:rsid w:val="0027051F"/>
    <w:rsid w:val="002728BF"/>
    <w:rsid w:val="002731C3"/>
    <w:rsid w:val="002733CD"/>
    <w:rsid w:val="0027397F"/>
    <w:rsid w:val="0027471C"/>
    <w:rsid w:val="002748C1"/>
    <w:rsid w:val="00277948"/>
    <w:rsid w:val="00277E41"/>
    <w:rsid w:val="002803F3"/>
    <w:rsid w:val="0028070F"/>
    <w:rsid w:val="00280CF7"/>
    <w:rsid w:val="00280F74"/>
    <w:rsid w:val="00281846"/>
    <w:rsid w:val="00281FE5"/>
    <w:rsid w:val="00283363"/>
    <w:rsid w:val="00286998"/>
    <w:rsid w:val="002874CC"/>
    <w:rsid w:val="00290320"/>
    <w:rsid w:val="00290657"/>
    <w:rsid w:val="002912E8"/>
    <w:rsid w:val="002952C1"/>
    <w:rsid w:val="002957DE"/>
    <w:rsid w:val="00296115"/>
    <w:rsid w:val="00297320"/>
    <w:rsid w:val="002A0AAE"/>
    <w:rsid w:val="002A149F"/>
    <w:rsid w:val="002A1CB5"/>
    <w:rsid w:val="002A310E"/>
    <w:rsid w:val="002A5261"/>
    <w:rsid w:val="002A6BF7"/>
    <w:rsid w:val="002A7386"/>
    <w:rsid w:val="002B0F2F"/>
    <w:rsid w:val="002B153C"/>
    <w:rsid w:val="002B2DAC"/>
    <w:rsid w:val="002B58B5"/>
    <w:rsid w:val="002B7582"/>
    <w:rsid w:val="002B76D0"/>
    <w:rsid w:val="002C2320"/>
    <w:rsid w:val="002C3659"/>
    <w:rsid w:val="002C45B0"/>
    <w:rsid w:val="002C6064"/>
    <w:rsid w:val="002C6A05"/>
    <w:rsid w:val="002C7285"/>
    <w:rsid w:val="002C7362"/>
    <w:rsid w:val="002C75D9"/>
    <w:rsid w:val="002C77AF"/>
    <w:rsid w:val="002D1801"/>
    <w:rsid w:val="002D3129"/>
    <w:rsid w:val="002D317B"/>
    <w:rsid w:val="002D6BF5"/>
    <w:rsid w:val="002D70F3"/>
    <w:rsid w:val="002D712E"/>
    <w:rsid w:val="002E05CA"/>
    <w:rsid w:val="002E0F69"/>
    <w:rsid w:val="002E14DF"/>
    <w:rsid w:val="002E14E1"/>
    <w:rsid w:val="002E184D"/>
    <w:rsid w:val="002E1FAD"/>
    <w:rsid w:val="002E38A1"/>
    <w:rsid w:val="002E3F64"/>
    <w:rsid w:val="002E44D1"/>
    <w:rsid w:val="002E572E"/>
    <w:rsid w:val="002E7941"/>
    <w:rsid w:val="002F1D5F"/>
    <w:rsid w:val="002F35DC"/>
    <w:rsid w:val="002F56DD"/>
    <w:rsid w:val="002F5E6C"/>
    <w:rsid w:val="002F6CE5"/>
    <w:rsid w:val="002F7070"/>
    <w:rsid w:val="0030018C"/>
    <w:rsid w:val="00300220"/>
    <w:rsid w:val="00300496"/>
    <w:rsid w:val="00300D9E"/>
    <w:rsid w:val="00301C23"/>
    <w:rsid w:val="0030201A"/>
    <w:rsid w:val="00302C0A"/>
    <w:rsid w:val="00303724"/>
    <w:rsid w:val="003051CC"/>
    <w:rsid w:val="003057EA"/>
    <w:rsid w:val="00306B7E"/>
    <w:rsid w:val="00307981"/>
    <w:rsid w:val="00307CF0"/>
    <w:rsid w:val="00311D97"/>
    <w:rsid w:val="00312597"/>
    <w:rsid w:val="003139A4"/>
    <w:rsid w:val="003141DF"/>
    <w:rsid w:val="0031751C"/>
    <w:rsid w:val="00321AA3"/>
    <w:rsid w:val="00326699"/>
    <w:rsid w:val="00326F74"/>
    <w:rsid w:val="0033173E"/>
    <w:rsid w:val="00331B8E"/>
    <w:rsid w:val="0033207E"/>
    <w:rsid w:val="00333036"/>
    <w:rsid w:val="003331DA"/>
    <w:rsid w:val="00333A9E"/>
    <w:rsid w:val="00334334"/>
    <w:rsid w:val="00335F89"/>
    <w:rsid w:val="003412ED"/>
    <w:rsid w:val="00341585"/>
    <w:rsid w:val="0034198E"/>
    <w:rsid w:val="00342938"/>
    <w:rsid w:val="00343F24"/>
    <w:rsid w:val="003477DF"/>
    <w:rsid w:val="00350DC8"/>
    <w:rsid w:val="00353D56"/>
    <w:rsid w:val="003554B8"/>
    <w:rsid w:val="00355575"/>
    <w:rsid w:val="003555BF"/>
    <w:rsid w:val="00356075"/>
    <w:rsid w:val="0036223B"/>
    <w:rsid w:val="0036252A"/>
    <w:rsid w:val="003637C8"/>
    <w:rsid w:val="003643CA"/>
    <w:rsid w:val="00364628"/>
    <w:rsid w:val="003646BF"/>
    <w:rsid w:val="00364D9D"/>
    <w:rsid w:val="003668AB"/>
    <w:rsid w:val="003675E5"/>
    <w:rsid w:val="00371603"/>
    <w:rsid w:val="003735B9"/>
    <w:rsid w:val="003737A8"/>
    <w:rsid w:val="0037461E"/>
    <w:rsid w:val="00374748"/>
    <w:rsid w:val="00382AE3"/>
    <w:rsid w:val="00383906"/>
    <w:rsid w:val="00383DA1"/>
    <w:rsid w:val="00387E90"/>
    <w:rsid w:val="003912B4"/>
    <w:rsid w:val="0039160C"/>
    <w:rsid w:val="00392007"/>
    <w:rsid w:val="0039660F"/>
    <w:rsid w:val="0039741E"/>
    <w:rsid w:val="0039744C"/>
    <w:rsid w:val="00397C46"/>
    <w:rsid w:val="003A06C8"/>
    <w:rsid w:val="003A0D7C"/>
    <w:rsid w:val="003A1E73"/>
    <w:rsid w:val="003A232C"/>
    <w:rsid w:val="003A2F97"/>
    <w:rsid w:val="003A32D7"/>
    <w:rsid w:val="003A65E8"/>
    <w:rsid w:val="003A667A"/>
    <w:rsid w:val="003A74F5"/>
    <w:rsid w:val="003A7AFA"/>
    <w:rsid w:val="003A7CA6"/>
    <w:rsid w:val="003A7D85"/>
    <w:rsid w:val="003B0796"/>
    <w:rsid w:val="003B1CE2"/>
    <w:rsid w:val="003B3F6F"/>
    <w:rsid w:val="003B40BE"/>
    <w:rsid w:val="003B4CB4"/>
    <w:rsid w:val="003B518B"/>
    <w:rsid w:val="003B58E3"/>
    <w:rsid w:val="003B7612"/>
    <w:rsid w:val="003B7EE7"/>
    <w:rsid w:val="003C18C0"/>
    <w:rsid w:val="003C6ADC"/>
    <w:rsid w:val="003C7467"/>
    <w:rsid w:val="003D1F17"/>
    <w:rsid w:val="003D1FC5"/>
    <w:rsid w:val="003D244F"/>
    <w:rsid w:val="003D39EC"/>
    <w:rsid w:val="003D3E27"/>
    <w:rsid w:val="003D527C"/>
    <w:rsid w:val="003D53B3"/>
    <w:rsid w:val="003D5452"/>
    <w:rsid w:val="003D606F"/>
    <w:rsid w:val="003D6943"/>
    <w:rsid w:val="003D78F6"/>
    <w:rsid w:val="003E0D8B"/>
    <w:rsid w:val="003E0DD1"/>
    <w:rsid w:val="003E3DD5"/>
    <w:rsid w:val="003E537A"/>
    <w:rsid w:val="003E55D6"/>
    <w:rsid w:val="003E6FCE"/>
    <w:rsid w:val="003E713E"/>
    <w:rsid w:val="003E7BF8"/>
    <w:rsid w:val="003E7ECF"/>
    <w:rsid w:val="003F0833"/>
    <w:rsid w:val="003F0B8C"/>
    <w:rsid w:val="003F1ECD"/>
    <w:rsid w:val="003F26FC"/>
    <w:rsid w:val="003F350F"/>
    <w:rsid w:val="003F44B7"/>
    <w:rsid w:val="003F75A0"/>
    <w:rsid w:val="00400F1C"/>
    <w:rsid w:val="0040306E"/>
    <w:rsid w:val="004030D8"/>
    <w:rsid w:val="00404897"/>
    <w:rsid w:val="00404B4E"/>
    <w:rsid w:val="00405BB4"/>
    <w:rsid w:val="00406AF7"/>
    <w:rsid w:val="004075F2"/>
    <w:rsid w:val="00410DE8"/>
    <w:rsid w:val="00411100"/>
    <w:rsid w:val="004111DA"/>
    <w:rsid w:val="00413D48"/>
    <w:rsid w:val="00414ACD"/>
    <w:rsid w:val="00416D03"/>
    <w:rsid w:val="004213B0"/>
    <w:rsid w:val="00422948"/>
    <w:rsid w:val="00422FEE"/>
    <w:rsid w:val="00430CBE"/>
    <w:rsid w:val="004374FA"/>
    <w:rsid w:val="00441AC2"/>
    <w:rsid w:val="00441BA9"/>
    <w:rsid w:val="004425A0"/>
    <w:rsid w:val="00444592"/>
    <w:rsid w:val="00445FEE"/>
    <w:rsid w:val="0044678E"/>
    <w:rsid w:val="004469C1"/>
    <w:rsid w:val="00446B8E"/>
    <w:rsid w:val="00447E60"/>
    <w:rsid w:val="0045061E"/>
    <w:rsid w:val="004510AC"/>
    <w:rsid w:val="004520E4"/>
    <w:rsid w:val="0045239F"/>
    <w:rsid w:val="004528F1"/>
    <w:rsid w:val="00452BCD"/>
    <w:rsid w:val="00453A1E"/>
    <w:rsid w:val="00454EC1"/>
    <w:rsid w:val="00456A79"/>
    <w:rsid w:val="00456B63"/>
    <w:rsid w:val="00456C9B"/>
    <w:rsid w:val="0046002C"/>
    <w:rsid w:val="00460E7F"/>
    <w:rsid w:val="0046218D"/>
    <w:rsid w:val="00463FDE"/>
    <w:rsid w:val="0046457D"/>
    <w:rsid w:val="004655AB"/>
    <w:rsid w:val="004659CD"/>
    <w:rsid w:val="00467D2E"/>
    <w:rsid w:val="00470830"/>
    <w:rsid w:val="00470CCD"/>
    <w:rsid w:val="004726E9"/>
    <w:rsid w:val="00473B74"/>
    <w:rsid w:val="00476808"/>
    <w:rsid w:val="00476C91"/>
    <w:rsid w:val="0048181B"/>
    <w:rsid w:val="00482E21"/>
    <w:rsid w:val="00483F0B"/>
    <w:rsid w:val="00484913"/>
    <w:rsid w:val="00485E80"/>
    <w:rsid w:val="00486000"/>
    <w:rsid w:val="004867E2"/>
    <w:rsid w:val="00487527"/>
    <w:rsid w:val="00492A5E"/>
    <w:rsid w:val="004956ED"/>
    <w:rsid w:val="004A110E"/>
    <w:rsid w:val="004A5672"/>
    <w:rsid w:val="004A5AFC"/>
    <w:rsid w:val="004A5F55"/>
    <w:rsid w:val="004A7BAF"/>
    <w:rsid w:val="004B02EC"/>
    <w:rsid w:val="004B30C6"/>
    <w:rsid w:val="004B3BB8"/>
    <w:rsid w:val="004B5465"/>
    <w:rsid w:val="004B68F5"/>
    <w:rsid w:val="004B7506"/>
    <w:rsid w:val="004C0099"/>
    <w:rsid w:val="004C1744"/>
    <w:rsid w:val="004C4242"/>
    <w:rsid w:val="004C6647"/>
    <w:rsid w:val="004C7FE0"/>
    <w:rsid w:val="004D07B2"/>
    <w:rsid w:val="004D07E2"/>
    <w:rsid w:val="004D106D"/>
    <w:rsid w:val="004D1C3B"/>
    <w:rsid w:val="004D2E94"/>
    <w:rsid w:val="004D372F"/>
    <w:rsid w:val="004D403F"/>
    <w:rsid w:val="004D4757"/>
    <w:rsid w:val="004D5643"/>
    <w:rsid w:val="004D639B"/>
    <w:rsid w:val="004D6440"/>
    <w:rsid w:val="004D6E82"/>
    <w:rsid w:val="004E022E"/>
    <w:rsid w:val="004E13BE"/>
    <w:rsid w:val="004E179D"/>
    <w:rsid w:val="004E271E"/>
    <w:rsid w:val="004E32F0"/>
    <w:rsid w:val="004E4EE9"/>
    <w:rsid w:val="004E60C0"/>
    <w:rsid w:val="004E7715"/>
    <w:rsid w:val="004F252B"/>
    <w:rsid w:val="004F3040"/>
    <w:rsid w:val="004F391C"/>
    <w:rsid w:val="004F3C83"/>
    <w:rsid w:val="004F4285"/>
    <w:rsid w:val="004F4A23"/>
    <w:rsid w:val="004F5098"/>
    <w:rsid w:val="004F680B"/>
    <w:rsid w:val="004F6950"/>
    <w:rsid w:val="00502AF4"/>
    <w:rsid w:val="00502CE4"/>
    <w:rsid w:val="00504887"/>
    <w:rsid w:val="00504EC6"/>
    <w:rsid w:val="005059B4"/>
    <w:rsid w:val="00505E80"/>
    <w:rsid w:val="00507B8D"/>
    <w:rsid w:val="00510633"/>
    <w:rsid w:val="00512A53"/>
    <w:rsid w:val="00512CAD"/>
    <w:rsid w:val="00513024"/>
    <w:rsid w:val="005133DD"/>
    <w:rsid w:val="00514729"/>
    <w:rsid w:val="005150FC"/>
    <w:rsid w:val="00516022"/>
    <w:rsid w:val="005166D1"/>
    <w:rsid w:val="005175CE"/>
    <w:rsid w:val="0052059A"/>
    <w:rsid w:val="00521CEE"/>
    <w:rsid w:val="005229BB"/>
    <w:rsid w:val="00522B55"/>
    <w:rsid w:val="00523F8B"/>
    <w:rsid w:val="00524D65"/>
    <w:rsid w:val="00526E66"/>
    <w:rsid w:val="00526EC4"/>
    <w:rsid w:val="00530233"/>
    <w:rsid w:val="00532172"/>
    <w:rsid w:val="00532255"/>
    <w:rsid w:val="00532596"/>
    <w:rsid w:val="00534880"/>
    <w:rsid w:val="00534DEE"/>
    <w:rsid w:val="0053789D"/>
    <w:rsid w:val="00537DB3"/>
    <w:rsid w:val="005415F2"/>
    <w:rsid w:val="005452CC"/>
    <w:rsid w:val="005466EF"/>
    <w:rsid w:val="005469CE"/>
    <w:rsid w:val="005477C5"/>
    <w:rsid w:val="00547CB3"/>
    <w:rsid w:val="005505A1"/>
    <w:rsid w:val="005506A2"/>
    <w:rsid w:val="005530A7"/>
    <w:rsid w:val="00553ADF"/>
    <w:rsid w:val="005546E2"/>
    <w:rsid w:val="00554727"/>
    <w:rsid w:val="005553AD"/>
    <w:rsid w:val="005557A8"/>
    <w:rsid w:val="00556D2C"/>
    <w:rsid w:val="0055776D"/>
    <w:rsid w:val="00561CEF"/>
    <w:rsid w:val="005624A7"/>
    <w:rsid w:val="00562ED1"/>
    <w:rsid w:val="00563F9B"/>
    <w:rsid w:val="0056454C"/>
    <w:rsid w:val="005652E2"/>
    <w:rsid w:val="005672DF"/>
    <w:rsid w:val="00570F33"/>
    <w:rsid w:val="00573041"/>
    <w:rsid w:val="0057402A"/>
    <w:rsid w:val="005749A5"/>
    <w:rsid w:val="0057732A"/>
    <w:rsid w:val="00582942"/>
    <w:rsid w:val="00584568"/>
    <w:rsid w:val="00587797"/>
    <w:rsid w:val="005903FB"/>
    <w:rsid w:val="00590800"/>
    <w:rsid w:val="00593255"/>
    <w:rsid w:val="005936CB"/>
    <w:rsid w:val="00593B69"/>
    <w:rsid w:val="005943F9"/>
    <w:rsid w:val="0059530B"/>
    <w:rsid w:val="00596655"/>
    <w:rsid w:val="0059680A"/>
    <w:rsid w:val="005968D8"/>
    <w:rsid w:val="00597477"/>
    <w:rsid w:val="005A03A3"/>
    <w:rsid w:val="005A1D89"/>
    <w:rsid w:val="005A463A"/>
    <w:rsid w:val="005A6ADB"/>
    <w:rsid w:val="005A79E3"/>
    <w:rsid w:val="005B0686"/>
    <w:rsid w:val="005B0ADD"/>
    <w:rsid w:val="005B36E0"/>
    <w:rsid w:val="005B4F97"/>
    <w:rsid w:val="005B6A16"/>
    <w:rsid w:val="005B77E3"/>
    <w:rsid w:val="005C0BFF"/>
    <w:rsid w:val="005C164B"/>
    <w:rsid w:val="005C1A3A"/>
    <w:rsid w:val="005C22DD"/>
    <w:rsid w:val="005C3FE0"/>
    <w:rsid w:val="005C400C"/>
    <w:rsid w:val="005C4A83"/>
    <w:rsid w:val="005C7308"/>
    <w:rsid w:val="005C740C"/>
    <w:rsid w:val="005C79BA"/>
    <w:rsid w:val="005D0300"/>
    <w:rsid w:val="005D063A"/>
    <w:rsid w:val="005D1E27"/>
    <w:rsid w:val="005D3322"/>
    <w:rsid w:val="005D6886"/>
    <w:rsid w:val="005E17A4"/>
    <w:rsid w:val="005E1F2E"/>
    <w:rsid w:val="005E25D4"/>
    <w:rsid w:val="005E6236"/>
    <w:rsid w:val="005F0E31"/>
    <w:rsid w:val="005F23DB"/>
    <w:rsid w:val="005F2F08"/>
    <w:rsid w:val="005F3C85"/>
    <w:rsid w:val="005F3FB6"/>
    <w:rsid w:val="005F431D"/>
    <w:rsid w:val="005F4FE7"/>
    <w:rsid w:val="005F55C9"/>
    <w:rsid w:val="00600064"/>
    <w:rsid w:val="00600777"/>
    <w:rsid w:val="0060167A"/>
    <w:rsid w:val="00602145"/>
    <w:rsid w:val="00604859"/>
    <w:rsid w:val="006048F4"/>
    <w:rsid w:val="00604F46"/>
    <w:rsid w:val="006064E1"/>
    <w:rsid w:val="0060660A"/>
    <w:rsid w:val="0061039A"/>
    <w:rsid w:val="00610AAA"/>
    <w:rsid w:val="00611CB0"/>
    <w:rsid w:val="00612294"/>
    <w:rsid w:val="006123B1"/>
    <w:rsid w:val="00613D07"/>
    <w:rsid w:val="006144B7"/>
    <w:rsid w:val="0061509D"/>
    <w:rsid w:val="006154C6"/>
    <w:rsid w:val="00615DAA"/>
    <w:rsid w:val="00617313"/>
    <w:rsid w:val="00617A44"/>
    <w:rsid w:val="006215C6"/>
    <w:rsid w:val="00621767"/>
    <w:rsid w:val="00625CD0"/>
    <w:rsid w:val="00625EB1"/>
    <w:rsid w:val="006271BD"/>
    <w:rsid w:val="006316B8"/>
    <w:rsid w:val="00631889"/>
    <w:rsid w:val="00632896"/>
    <w:rsid w:val="006329A1"/>
    <w:rsid w:val="006334B6"/>
    <w:rsid w:val="00633D2B"/>
    <w:rsid w:val="00634A3C"/>
    <w:rsid w:val="00635DE3"/>
    <w:rsid w:val="00636AFD"/>
    <w:rsid w:val="006375B8"/>
    <w:rsid w:val="00643062"/>
    <w:rsid w:val="00645EC4"/>
    <w:rsid w:val="006469F6"/>
    <w:rsid w:val="00646E47"/>
    <w:rsid w:val="00651441"/>
    <w:rsid w:val="00651DC0"/>
    <w:rsid w:val="006522A0"/>
    <w:rsid w:val="0065281C"/>
    <w:rsid w:val="006565D2"/>
    <w:rsid w:val="006569DB"/>
    <w:rsid w:val="00656C96"/>
    <w:rsid w:val="00657247"/>
    <w:rsid w:val="006614C4"/>
    <w:rsid w:val="00661591"/>
    <w:rsid w:val="00662125"/>
    <w:rsid w:val="00663E9A"/>
    <w:rsid w:val="0066632F"/>
    <w:rsid w:val="006665E1"/>
    <w:rsid w:val="00667BAB"/>
    <w:rsid w:val="0067057E"/>
    <w:rsid w:val="00670DD3"/>
    <w:rsid w:val="006711DA"/>
    <w:rsid w:val="0067329B"/>
    <w:rsid w:val="00674C14"/>
    <w:rsid w:val="0068182A"/>
    <w:rsid w:val="00681B2D"/>
    <w:rsid w:val="00687998"/>
    <w:rsid w:val="0069047B"/>
    <w:rsid w:val="00690DCA"/>
    <w:rsid w:val="00691046"/>
    <w:rsid w:val="00692E7B"/>
    <w:rsid w:val="0069317D"/>
    <w:rsid w:val="006956A1"/>
    <w:rsid w:val="0069702B"/>
    <w:rsid w:val="006A3362"/>
    <w:rsid w:val="006A4664"/>
    <w:rsid w:val="006A4DB5"/>
    <w:rsid w:val="006A52D6"/>
    <w:rsid w:val="006A670C"/>
    <w:rsid w:val="006A6FA2"/>
    <w:rsid w:val="006A73B3"/>
    <w:rsid w:val="006A78DD"/>
    <w:rsid w:val="006B021E"/>
    <w:rsid w:val="006B03AF"/>
    <w:rsid w:val="006B0D67"/>
    <w:rsid w:val="006B1EA8"/>
    <w:rsid w:val="006B2292"/>
    <w:rsid w:val="006B329D"/>
    <w:rsid w:val="006B3A5E"/>
    <w:rsid w:val="006C114E"/>
    <w:rsid w:val="006C1EB0"/>
    <w:rsid w:val="006C2535"/>
    <w:rsid w:val="006C3A41"/>
    <w:rsid w:val="006C4EB2"/>
    <w:rsid w:val="006C5413"/>
    <w:rsid w:val="006C65A1"/>
    <w:rsid w:val="006C6C62"/>
    <w:rsid w:val="006C7B49"/>
    <w:rsid w:val="006C7CA9"/>
    <w:rsid w:val="006D058F"/>
    <w:rsid w:val="006D14D1"/>
    <w:rsid w:val="006D3256"/>
    <w:rsid w:val="006D4B0D"/>
    <w:rsid w:val="006D5D64"/>
    <w:rsid w:val="006D5DC2"/>
    <w:rsid w:val="006D60B4"/>
    <w:rsid w:val="006D75E1"/>
    <w:rsid w:val="006D7F64"/>
    <w:rsid w:val="006E263E"/>
    <w:rsid w:val="006E3546"/>
    <w:rsid w:val="006E365A"/>
    <w:rsid w:val="006E38C3"/>
    <w:rsid w:val="006E4C60"/>
    <w:rsid w:val="006E4D97"/>
    <w:rsid w:val="006E6384"/>
    <w:rsid w:val="006E7216"/>
    <w:rsid w:val="006F0F93"/>
    <w:rsid w:val="006F17B6"/>
    <w:rsid w:val="006F35FA"/>
    <w:rsid w:val="006F6D7A"/>
    <w:rsid w:val="006F7B78"/>
    <w:rsid w:val="00703AEF"/>
    <w:rsid w:val="00704CCA"/>
    <w:rsid w:val="0070543F"/>
    <w:rsid w:val="00705BC0"/>
    <w:rsid w:val="00705C87"/>
    <w:rsid w:val="00707E10"/>
    <w:rsid w:val="00707EA6"/>
    <w:rsid w:val="00710978"/>
    <w:rsid w:val="00713044"/>
    <w:rsid w:val="00713F74"/>
    <w:rsid w:val="007146F0"/>
    <w:rsid w:val="00714C30"/>
    <w:rsid w:val="00715237"/>
    <w:rsid w:val="0071539E"/>
    <w:rsid w:val="00715F39"/>
    <w:rsid w:val="00716F76"/>
    <w:rsid w:val="00720573"/>
    <w:rsid w:val="0072120E"/>
    <w:rsid w:val="007218A6"/>
    <w:rsid w:val="00722293"/>
    <w:rsid w:val="00722F4B"/>
    <w:rsid w:val="007230FA"/>
    <w:rsid w:val="00724101"/>
    <w:rsid w:val="007250F0"/>
    <w:rsid w:val="007254A5"/>
    <w:rsid w:val="00725748"/>
    <w:rsid w:val="00730D14"/>
    <w:rsid w:val="00734374"/>
    <w:rsid w:val="00735496"/>
    <w:rsid w:val="00736D0D"/>
    <w:rsid w:val="0073720D"/>
    <w:rsid w:val="007402E0"/>
    <w:rsid w:val="007418AE"/>
    <w:rsid w:val="00742AB9"/>
    <w:rsid w:val="00743337"/>
    <w:rsid w:val="00744AC8"/>
    <w:rsid w:val="00745016"/>
    <w:rsid w:val="007462CE"/>
    <w:rsid w:val="00746658"/>
    <w:rsid w:val="00750A91"/>
    <w:rsid w:val="00751CF9"/>
    <w:rsid w:val="0075240B"/>
    <w:rsid w:val="0075368B"/>
    <w:rsid w:val="00754176"/>
    <w:rsid w:val="00754666"/>
    <w:rsid w:val="00754FBF"/>
    <w:rsid w:val="00755248"/>
    <w:rsid w:val="00756754"/>
    <w:rsid w:val="00757005"/>
    <w:rsid w:val="0076016D"/>
    <w:rsid w:val="007606CE"/>
    <w:rsid w:val="00760C95"/>
    <w:rsid w:val="00763BB2"/>
    <w:rsid w:val="00767DEC"/>
    <w:rsid w:val="0077029E"/>
    <w:rsid w:val="0077048E"/>
    <w:rsid w:val="00770864"/>
    <w:rsid w:val="007724AB"/>
    <w:rsid w:val="00772734"/>
    <w:rsid w:val="00774B22"/>
    <w:rsid w:val="00775344"/>
    <w:rsid w:val="00775D8A"/>
    <w:rsid w:val="0077737C"/>
    <w:rsid w:val="007777DF"/>
    <w:rsid w:val="00777AF4"/>
    <w:rsid w:val="007818B9"/>
    <w:rsid w:val="00781BE3"/>
    <w:rsid w:val="00781CED"/>
    <w:rsid w:val="007831C7"/>
    <w:rsid w:val="00783559"/>
    <w:rsid w:val="00783B2B"/>
    <w:rsid w:val="0078554C"/>
    <w:rsid w:val="00785F18"/>
    <w:rsid w:val="00786645"/>
    <w:rsid w:val="00786698"/>
    <w:rsid w:val="0078696B"/>
    <w:rsid w:val="00787B07"/>
    <w:rsid w:val="0079029D"/>
    <w:rsid w:val="00792AB2"/>
    <w:rsid w:val="007931BF"/>
    <w:rsid w:val="00795845"/>
    <w:rsid w:val="007A35FF"/>
    <w:rsid w:val="007A3BEE"/>
    <w:rsid w:val="007A4105"/>
    <w:rsid w:val="007A474C"/>
    <w:rsid w:val="007B0280"/>
    <w:rsid w:val="007B163C"/>
    <w:rsid w:val="007B2BC2"/>
    <w:rsid w:val="007B54BC"/>
    <w:rsid w:val="007B6491"/>
    <w:rsid w:val="007B6E9D"/>
    <w:rsid w:val="007B7594"/>
    <w:rsid w:val="007C0CE8"/>
    <w:rsid w:val="007C406E"/>
    <w:rsid w:val="007C66A9"/>
    <w:rsid w:val="007C7F09"/>
    <w:rsid w:val="007D08AB"/>
    <w:rsid w:val="007D0AC3"/>
    <w:rsid w:val="007D25B4"/>
    <w:rsid w:val="007D2C22"/>
    <w:rsid w:val="007D2C30"/>
    <w:rsid w:val="007D5658"/>
    <w:rsid w:val="007D6565"/>
    <w:rsid w:val="007D6815"/>
    <w:rsid w:val="007D7C1C"/>
    <w:rsid w:val="007E1149"/>
    <w:rsid w:val="007E2C0D"/>
    <w:rsid w:val="007E33F7"/>
    <w:rsid w:val="007E435C"/>
    <w:rsid w:val="007E6BE6"/>
    <w:rsid w:val="007F100C"/>
    <w:rsid w:val="007F1982"/>
    <w:rsid w:val="007F19C3"/>
    <w:rsid w:val="007F2D50"/>
    <w:rsid w:val="007F428E"/>
    <w:rsid w:val="007F74ED"/>
    <w:rsid w:val="0080096E"/>
    <w:rsid w:val="008036D1"/>
    <w:rsid w:val="008050E6"/>
    <w:rsid w:val="00806B95"/>
    <w:rsid w:val="00807805"/>
    <w:rsid w:val="0081019F"/>
    <w:rsid w:val="00810CFA"/>
    <w:rsid w:val="00811392"/>
    <w:rsid w:val="00812028"/>
    <w:rsid w:val="00814D03"/>
    <w:rsid w:val="0081537D"/>
    <w:rsid w:val="00816074"/>
    <w:rsid w:val="00820F4D"/>
    <w:rsid w:val="00824629"/>
    <w:rsid w:val="0083178B"/>
    <w:rsid w:val="00833695"/>
    <w:rsid w:val="00834F99"/>
    <w:rsid w:val="008364EF"/>
    <w:rsid w:val="0083788B"/>
    <w:rsid w:val="00837C66"/>
    <w:rsid w:val="008407B5"/>
    <w:rsid w:val="008409AE"/>
    <w:rsid w:val="00842A21"/>
    <w:rsid w:val="00842CD8"/>
    <w:rsid w:val="008435CC"/>
    <w:rsid w:val="00844CC1"/>
    <w:rsid w:val="008517DE"/>
    <w:rsid w:val="00851BC3"/>
    <w:rsid w:val="008520D8"/>
    <w:rsid w:val="008525B2"/>
    <w:rsid w:val="008530B2"/>
    <w:rsid w:val="008553C7"/>
    <w:rsid w:val="00857770"/>
    <w:rsid w:val="00857FEB"/>
    <w:rsid w:val="00860B95"/>
    <w:rsid w:val="008616E0"/>
    <w:rsid w:val="00862050"/>
    <w:rsid w:val="008624AD"/>
    <w:rsid w:val="008624F0"/>
    <w:rsid w:val="008646B0"/>
    <w:rsid w:val="00864B45"/>
    <w:rsid w:val="00865AF4"/>
    <w:rsid w:val="008666D2"/>
    <w:rsid w:val="00871B05"/>
    <w:rsid w:val="008720EB"/>
    <w:rsid w:val="008735BA"/>
    <w:rsid w:val="00873E5C"/>
    <w:rsid w:val="0087429B"/>
    <w:rsid w:val="008753FC"/>
    <w:rsid w:val="008777AA"/>
    <w:rsid w:val="008802A6"/>
    <w:rsid w:val="00880A18"/>
    <w:rsid w:val="008812FB"/>
    <w:rsid w:val="00882814"/>
    <w:rsid w:val="00886E97"/>
    <w:rsid w:val="00891692"/>
    <w:rsid w:val="00892002"/>
    <w:rsid w:val="008934AE"/>
    <w:rsid w:val="008934E6"/>
    <w:rsid w:val="00893EC4"/>
    <w:rsid w:val="008952CB"/>
    <w:rsid w:val="0089697A"/>
    <w:rsid w:val="008A15B7"/>
    <w:rsid w:val="008A1D10"/>
    <w:rsid w:val="008A354C"/>
    <w:rsid w:val="008A46A9"/>
    <w:rsid w:val="008A5A3F"/>
    <w:rsid w:val="008A646F"/>
    <w:rsid w:val="008A702B"/>
    <w:rsid w:val="008A7174"/>
    <w:rsid w:val="008B1BE5"/>
    <w:rsid w:val="008B378C"/>
    <w:rsid w:val="008B3929"/>
    <w:rsid w:val="008B3C2F"/>
    <w:rsid w:val="008B4118"/>
    <w:rsid w:val="008B4208"/>
    <w:rsid w:val="008B45D6"/>
    <w:rsid w:val="008B4CB3"/>
    <w:rsid w:val="008B54B2"/>
    <w:rsid w:val="008B720C"/>
    <w:rsid w:val="008B731A"/>
    <w:rsid w:val="008C1639"/>
    <w:rsid w:val="008C2425"/>
    <w:rsid w:val="008C2444"/>
    <w:rsid w:val="008C3F57"/>
    <w:rsid w:val="008C46FD"/>
    <w:rsid w:val="008C5B1C"/>
    <w:rsid w:val="008C67AF"/>
    <w:rsid w:val="008C6DAA"/>
    <w:rsid w:val="008C78FD"/>
    <w:rsid w:val="008D0EBE"/>
    <w:rsid w:val="008D2355"/>
    <w:rsid w:val="008D2FA9"/>
    <w:rsid w:val="008D3CEA"/>
    <w:rsid w:val="008D56F7"/>
    <w:rsid w:val="008D5B01"/>
    <w:rsid w:val="008E22BC"/>
    <w:rsid w:val="008E29B4"/>
    <w:rsid w:val="008E35E2"/>
    <w:rsid w:val="008E5F59"/>
    <w:rsid w:val="008E7AC3"/>
    <w:rsid w:val="008F0C84"/>
    <w:rsid w:val="008F1B70"/>
    <w:rsid w:val="008F2143"/>
    <w:rsid w:val="008F4A8D"/>
    <w:rsid w:val="00900C34"/>
    <w:rsid w:val="00901121"/>
    <w:rsid w:val="00901DEF"/>
    <w:rsid w:val="00902FF2"/>
    <w:rsid w:val="00903B67"/>
    <w:rsid w:val="00905B6D"/>
    <w:rsid w:val="00905F89"/>
    <w:rsid w:val="0090647C"/>
    <w:rsid w:val="0090651A"/>
    <w:rsid w:val="0091000A"/>
    <w:rsid w:val="00910642"/>
    <w:rsid w:val="009160BB"/>
    <w:rsid w:val="009166AD"/>
    <w:rsid w:val="00917821"/>
    <w:rsid w:val="00917BAC"/>
    <w:rsid w:val="00921A22"/>
    <w:rsid w:val="009234B2"/>
    <w:rsid w:val="009258BA"/>
    <w:rsid w:val="00927293"/>
    <w:rsid w:val="009311C8"/>
    <w:rsid w:val="00933376"/>
    <w:rsid w:val="009336FC"/>
    <w:rsid w:val="0093375C"/>
    <w:rsid w:val="0093791F"/>
    <w:rsid w:val="00937CE6"/>
    <w:rsid w:val="00940C5F"/>
    <w:rsid w:val="00942355"/>
    <w:rsid w:val="00943020"/>
    <w:rsid w:val="009439A5"/>
    <w:rsid w:val="00943F25"/>
    <w:rsid w:val="00944F01"/>
    <w:rsid w:val="00945691"/>
    <w:rsid w:val="00946D29"/>
    <w:rsid w:val="0095050D"/>
    <w:rsid w:val="009513C2"/>
    <w:rsid w:val="0095259F"/>
    <w:rsid w:val="009534EF"/>
    <w:rsid w:val="0095352B"/>
    <w:rsid w:val="00955A7F"/>
    <w:rsid w:val="0095748C"/>
    <w:rsid w:val="0096077C"/>
    <w:rsid w:val="0096143B"/>
    <w:rsid w:val="00961C28"/>
    <w:rsid w:val="00961FA7"/>
    <w:rsid w:val="009627A5"/>
    <w:rsid w:val="00962C56"/>
    <w:rsid w:val="00963642"/>
    <w:rsid w:val="00964BBF"/>
    <w:rsid w:val="00964F30"/>
    <w:rsid w:val="00965FD5"/>
    <w:rsid w:val="009668DE"/>
    <w:rsid w:val="00967346"/>
    <w:rsid w:val="009711D9"/>
    <w:rsid w:val="009718F9"/>
    <w:rsid w:val="00974893"/>
    <w:rsid w:val="00975112"/>
    <w:rsid w:val="00975202"/>
    <w:rsid w:val="009753D7"/>
    <w:rsid w:val="00975AC8"/>
    <w:rsid w:val="00977002"/>
    <w:rsid w:val="009774C4"/>
    <w:rsid w:val="00977CDA"/>
    <w:rsid w:val="009807A2"/>
    <w:rsid w:val="009811DF"/>
    <w:rsid w:val="00982B90"/>
    <w:rsid w:val="00982E82"/>
    <w:rsid w:val="00983333"/>
    <w:rsid w:val="00983A7C"/>
    <w:rsid w:val="00984D7B"/>
    <w:rsid w:val="00991B5F"/>
    <w:rsid w:val="00991C2E"/>
    <w:rsid w:val="00997999"/>
    <w:rsid w:val="009A0FF6"/>
    <w:rsid w:val="009A15FA"/>
    <w:rsid w:val="009A342B"/>
    <w:rsid w:val="009A3B71"/>
    <w:rsid w:val="009A3CA0"/>
    <w:rsid w:val="009A513F"/>
    <w:rsid w:val="009A542C"/>
    <w:rsid w:val="009A61BC"/>
    <w:rsid w:val="009A6527"/>
    <w:rsid w:val="009A676D"/>
    <w:rsid w:val="009A727A"/>
    <w:rsid w:val="009B1466"/>
    <w:rsid w:val="009B23D3"/>
    <w:rsid w:val="009B24B7"/>
    <w:rsid w:val="009B41E7"/>
    <w:rsid w:val="009B424D"/>
    <w:rsid w:val="009B57FB"/>
    <w:rsid w:val="009B76FC"/>
    <w:rsid w:val="009B7709"/>
    <w:rsid w:val="009C1AC6"/>
    <w:rsid w:val="009C1C75"/>
    <w:rsid w:val="009C37AE"/>
    <w:rsid w:val="009C42BC"/>
    <w:rsid w:val="009C4AAC"/>
    <w:rsid w:val="009C4F04"/>
    <w:rsid w:val="009C692B"/>
    <w:rsid w:val="009D277F"/>
    <w:rsid w:val="009D7120"/>
    <w:rsid w:val="009D7DFA"/>
    <w:rsid w:val="009E042D"/>
    <w:rsid w:val="009E1B8B"/>
    <w:rsid w:val="009E37E6"/>
    <w:rsid w:val="009E584D"/>
    <w:rsid w:val="009E6427"/>
    <w:rsid w:val="009E71C1"/>
    <w:rsid w:val="009F3851"/>
    <w:rsid w:val="00A009E3"/>
    <w:rsid w:val="00A02874"/>
    <w:rsid w:val="00A02980"/>
    <w:rsid w:val="00A0334B"/>
    <w:rsid w:val="00A04081"/>
    <w:rsid w:val="00A043B4"/>
    <w:rsid w:val="00A04DC0"/>
    <w:rsid w:val="00A058F2"/>
    <w:rsid w:val="00A06827"/>
    <w:rsid w:val="00A07737"/>
    <w:rsid w:val="00A07D00"/>
    <w:rsid w:val="00A10614"/>
    <w:rsid w:val="00A10E98"/>
    <w:rsid w:val="00A11768"/>
    <w:rsid w:val="00A11838"/>
    <w:rsid w:val="00A12458"/>
    <w:rsid w:val="00A13499"/>
    <w:rsid w:val="00A140D0"/>
    <w:rsid w:val="00A149C1"/>
    <w:rsid w:val="00A14A93"/>
    <w:rsid w:val="00A164EA"/>
    <w:rsid w:val="00A167EA"/>
    <w:rsid w:val="00A2172A"/>
    <w:rsid w:val="00A21A93"/>
    <w:rsid w:val="00A21B3B"/>
    <w:rsid w:val="00A21B51"/>
    <w:rsid w:val="00A22C9F"/>
    <w:rsid w:val="00A2455B"/>
    <w:rsid w:val="00A245B7"/>
    <w:rsid w:val="00A25B4A"/>
    <w:rsid w:val="00A27328"/>
    <w:rsid w:val="00A277F9"/>
    <w:rsid w:val="00A2798C"/>
    <w:rsid w:val="00A30E68"/>
    <w:rsid w:val="00A31885"/>
    <w:rsid w:val="00A32BC4"/>
    <w:rsid w:val="00A33763"/>
    <w:rsid w:val="00A33A14"/>
    <w:rsid w:val="00A34AA0"/>
    <w:rsid w:val="00A35B30"/>
    <w:rsid w:val="00A35BEC"/>
    <w:rsid w:val="00A373C4"/>
    <w:rsid w:val="00A37B8E"/>
    <w:rsid w:val="00A41EFC"/>
    <w:rsid w:val="00A4371E"/>
    <w:rsid w:val="00A47733"/>
    <w:rsid w:val="00A50264"/>
    <w:rsid w:val="00A511CD"/>
    <w:rsid w:val="00A551E6"/>
    <w:rsid w:val="00A56946"/>
    <w:rsid w:val="00A578D8"/>
    <w:rsid w:val="00A6126A"/>
    <w:rsid w:val="00A61759"/>
    <w:rsid w:val="00A62D73"/>
    <w:rsid w:val="00A63889"/>
    <w:rsid w:val="00A6421B"/>
    <w:rsid w:val="00A64A23"/>
    <w:rsid w:val="00A64DAE"/>
    <w:rsid w:val="00A65FF9"/>
    <w:rsid w:val="00A70E93"/>
    <w:rsid w:val="00A71A15"/>
    <w:rsid w:val="00A74DEC"/>
    <w:rsid w:val="00A76D10"/>
    <w:rsid w:val="00A76DC7"/>
    <w:rsid w:val="00A77D7A"/>
    <w:rsid w:val="00A8067C"/>
    <w:rsid w:val="00A84B60"/>
    <w:rsid w:val="00A84E68"/>
    <w:rsid w:val="00A84F62"/>
    <w:rsid w:val="00A8618E"/>
    <w:rsid w:val="00A8630D"/>
    <w:rsid w:val="00A87B6C"/>
    <w:rsid w:val="00A908F9"/>
    <w:rsid w:val="00A91B1B"/>
    <w:rsid w:val="00A922F4"/>
    <w:rsid w:val="00A9351D"/>
    <w:rsid w:val="00A94A09"/>
    <w:rsid w:val="00A967EE"/>
    <w:rsid w:val="00A975DA"/>
    <w:rsid w:val="00AA4277"/>
    <w:rsid w:val="00AA4C2B"/>
    <w:rsid w:val="00AA4D58"/>
    <w:rsid w:val="00AA5B94"/>
    <w:rsid w:val="00AA6265"/>
    <w:rsid w:val="00AB4880"/>
    <w:rsid w:val="00AB5963"/>
    <w:rsid w:val="00AB762B"/>
    <w:rsid w:val="00AB78E0"/>
    <w:rsid w:val="00AC0810"/>
    <w:rsid w:val="00AC0B3D"/>
    <w:rsid w:val="00AC1ED1"/>
    <w:rsid w:val="00AC211D"/>
    <w:rsid w:val="00AC3701"/>
    <w:rsid w:val="00AC4515"/>
    <w:rsid w:val="00AC49D8"/>
    <w:rsid w:val="00AC523C"/>
    <w:rsid w:val="00AC567F"/>
    <w:rsid w:val="00AC7C55"/>
    <w:rsid w:val="00AD0929"/>
    <w:rsid w:val="00AD0CCB"/>
    <w:rsid w:val="00AD0D21"/>
    <w:rsid w:val="00AD24CE"/>
    <w:rsid w:val="00AD279E"/>
    <w:rsid w:val="00AD2B89"/>
    <w:rsid w:val="00AD3A3C"/>
    <w:rsid w:val="00AD5C2E"/>
    <w:rsid w:val="00AD5CFF"/>
    <w:rsid w:val="00AE11B7"/>
    <w:rsid w:val="00AE1D85"/>
    <w:rsid w:val="00AE2248"/>
    <w:rsid w:val="00AE4E07"/>
    <w:rsid w:val="00AE5230"/>
    <w:rsid w:val="00AE5901"/>
    <w:rsid w:val="00AE668D"/>
    <w:rsid w:val="00AE77B6"/>
    <w:rsid w:val="00AF0612"/>
    <w:rsid w:val="00AF0888"/>
    <w:rsid w:val="00AF2170"/>
    <w:rsid w:val="00AF2F4F"/>
    <w:rsid w:val="00AF36B0"/>
    <w:rsid w:val="00AF612D"/>
    <w:rsid w:val="00AF6CAF"/>
    <w:rsid w:val="00AF7691"/>
    <w:rsid w:val="00AF7F47"/>
    <w:rsid w:val="00B00A55"/>
    <w:rsid w:val="00B00F22"/>
    <w:rsid w:val="00B06444"/>
    <w:rsid w:val="00B0686B"/>
    <w:rsid w:val="00B06C4D"/>
    <w:rsid w:val="00B06CE6"/>
    <w:rsid w:val="00B06D4B"/>
    <w:rsid w:val="00B1151F"/>
    <w:rsid w:val="00B12E64"/>
    <w:rsid w:val="00B15545"/>
    <w:rsid w:val="00B201ED"/>
    <w:rsid w:val="00B2070E"/>
    <w:rsid w:val="00B214B2"/>
    <w:rsid w:val="00B24584"/>
    <w:rsid w:val="00B24672"/>
    <w:rsid w:val="00B24C4A"/>
    <w:rsid w:val="00B25CD9"/>
    <w:rsid w:val="00B26CCF"/>
    <w:rsid w:val="00B30004"/>
    <w:rsid w:val="00B30353"/>
    <w:rsid w:val="00B316B9"/>
    <w:rsid w:val="00B322C1"/>
    <w:rsid w:val="00B32C2C"/>
    <w:rsid w:val="00B34C1E"/>
    <w:rsid w:val="00B35331"/>
    <w:rsid w:val="00B36546"/>
    <w:rsid w:val="00B37E6F"/>
    <w:rsid w:val="00B424BA"/>
    <w:rsid w:val="00B426F7"/>
    <w:rsid w:val="00B464BB"/>
    <w:rsid w:val="00B51544"/>
    <w:rsid w:val="00B51F69"/>
    <w:rsid w:val="00B52E2F"/>
    <w:rsid w:val="00B531DD"/>
    <w:rsid w:val="00B54564"/>
    <w:rsid w:val="00B54F1A"/>
    <w:rsid w:val="00B55390"/>
    <w:rsid w:val="00B56A07"/>
    <w:rsid w:val="00B56D45"/>
    <w:rsid w:val="00B572E8"/>
    <w:rsid w:val="00B603B4"/>
    <w:rsid w:val="00B60860"/>
    <w:rsid w:val="00B63309"/>
    <w:rsid w:val="00B64454"/>
    <w:rsid w:val="00B645D2"/>
    <w:rsid w:val="00B67E6B"/>
    <w:rsid w:val="00B705EF"/>
    <w:rsid w:val="00B717B0"/>
    <w:rsid w:val="00B71DC2"/>
    <w:rsid w:val="00B73546"/>
    <w:rsid w:val="00B74DD5"/>
    <w:rsid w:val="00B74F88"/>
    <w:rsid w:val="00B76565"/>
    <w:rsid w:val="00B76A6E"/>
    <w:rsid w:val="00B81B88"/>
    <w:rsid w:val="00B84A83"/>
    <w:rsid w:val="00B879C7"/>
    <w:rsid w:val="00B90D3F"/>
    <w:rsid w:val="00B90DA2"/>
    <w:rsid w:val="00B93893"/>
    <w:rsid w:val="00B95E58"/>
    <w:rsid w:val="00B95FC2"/>
    <w:rsid w:val="00B979F2"/>
    <w:rsid w:val="00B97DCD"/>
    <w:rsid w:val="00BA06AC"/>
    <w:rsid w:val="00BA1B1C"/>
    <w:rsid w:val="00BA2CB0"/>
    <w:rsid w:val="00BA3472"/>
    <w:rsid w:val="00BA537F"/>
    <w:rsid w:val="00BA5E9E"/>
    <w:rsid w:val="00BA6D22"/>
    <w:rsid w:val="00BA770E"/>
    <w:rsid w:val="00BA77F1"/>
    <w:rsid w:val="00BA7A60"/>
    <w:rsid w:val="00BA7EDA"/>
    <w:rsid w:val="00BB11E1"/>
    <w:rsid w:val="00BB1594"/>
    <w:rsid w:val="00BB1670"/>
    <w:rsid w:val="00BB2BC0"/>
    <w:rsid w:val="00BB3BBC"/>
    <w:rsid w:val="00BB6DA1"/>
    <w:rsid w:val="00BB7ABD"/>
    <w:rsid w:val="00BB7EB7"/>
    <w:rsid w:val="00BC02E9"/>
    <w:rsid w:val="00BC0A80"/>
    <w:rsid w:val="00BC12A3"/>
    <w:rsid w:val="00BC3B53"/>
    <w:rsid w:val="00BC4A98"/>
    <w:rsid w:val="00BC4D64"/>
    <w:rsid w:val="00BC56F5"/>
    <w:rsid w:val="00BC7D8C"/>
    <w:rsid w:val="00BD0F12"/>
    <w:rsid w:val="00BD1454"/>
    <w:rsid w:val="00BD4929"/>
    <w:rsid w:val="00BD5DFC"/>
    <w:rsid w:val="00BD7AE6"/>
    <w:rsid w:val="00BE0B32"/>
    <w:rsid w:val="00BE2497"/>
    <w:rsid w:val="00BE458E"/>
    <w:rsid w:val="00BE5564"/>
    <w:rsid w:val="00BE7E4C"/>
    <w:rsid w:val="00BF1365"/>
    <w:rsid w:val="00BF1CAE"/>
    <w:rsid w:val="00BF2B59"/>
    <w:rsid w:val="00BF2C4F"/>
    <w:rsid w:val="00BF37A3"/>
    <w:rsid w:val="00BF3B6C"/>
    <w:rsid w:val="00BF3D01"/>
    <w:rsid w:val="00BF5B51"/>
    <w:rsid w:val="00C00B67"/>
    <w:rsid w:val="00C00F4E"/>
    <w:rsid w:val="00C01061"/>
    <w:rsid w:val="00C010DC"/>
    <w:rsid w:val="00C05318"/>
    <w:rsid w:val="00C10869"/>
    <w:rsid w:val="00C117E2"/>
    <w:rsid w:val="00C12C00"/>
    <w:rsid w:val="00C12E90"/>
    <w:rsid w:val="00C12EB9"/>
    <w:rsid w:val="00C1320B"/>
    <w:rsid w:val="00C14CC1"/>
    <w:rsid w:val="00C154DF"/>
    <w:rsid w:val="00C206F1"/>
    <w:rsid w:val="00C23362"/>
    <w:rsid w:val="00C26035"/>
    <w:rsid w:val="00C26079"/>
    <w:rsid w:val="00C27206"/>
    <w:rsid w:val="00C30AC1"/>
    <w:rsid w:val="00C3189F"/>
    <w:rsid w:val="00C3256E"/>
    <w:rsid w:val="00C33340"/>
    <w:rsid w:val="00C3445F"/>
    <w:rsid w:val="00C35A91"/>
    <w:rsid w:val="00C371A6"/>
    <w:rsid w:val="00C40C60"/>
    <w:rsid w:val="00C42F03"/>
    <w:rsid w:val="00C43022"/>
    <w:rsid w:val="00C447C0"/>
    <w:rsid w:val="00C458C9"/>
    <w:rsid w:val="00C46B84"/>
    <w:rsid w:val="00C50ECF"/>
    <w:rsid w:val="00C52281"/>
    <w:rsid w:val="00C52E42"/>
    <w:rsid w:val="00C53426"/>
    <w:rsid w:val="00C54FEA"/>
    <w:rsid w:val="00C55E5A"/>
    <w:rsid w:val="00C568B6"/>
    <w:rsid w:val="00C56BE8"/>
    <w:rsid w:val="00C575E6"/>
    <w:rsid w:val="00C60E49"/>
    <w:rsid w:val="00C62A0B"/>
    <w:rsid w:val="00C63108"/>
    <w:rsid w:val="00C638E2"/>
    <w:rsid w:val="00C6537C"/>
    <w:rsid w:val="00C666E4"/>
    <w:rsid w:val="00C706D6"/>
    <w:rsid w:val="00C70E17"/>
    <w:rsid w:val="00C74B44"/>
    <w:rsid w:val="00C80EA0"/>
    <w:rsid w:val="00C812F7"/>
    <w:rsid w:val="00C8154D"/>
    <w:rsid w:val="00C833B6"/>
    <w:rsid w:val="00C85838"/>
    <w:rsid w:val="00C876B7"/>
    <w:rsid w:val="00C87B87"/>
    <w:rsid w:val="00C9064D"/>
    <w:rsid w:val="00C90846"/>
    <w:rsid w:val="00C90DC5"/>
    <w:rsid w:val="00C91B2C"/>
    <w:rsid w:val="00C92CA5"/>
    <w:rsid w:val="00C93B39"/>
    <w:rsid w:val="00C93FE8"/>
    <w:rsid w:val="00C950A6"/>
    <w:rsid w:val="00C95961"/>
    <w:rsid w:val="00C96B72"/>
    <w:rsid w:val="00C970DC"/>
    <w:rsid w:val="00CA0A69"/>
    <w:rsid w:val="00CA0E27"/>
    <w:rsid w:val="00CA0E76"/>
    <w:rsid w:val="00CA40F8"/>
    <w:rsid w:val="00CA473C"/>
    <w:rsid w:val="00CA47D3"/>
    <w:rsid w:val="00CA52E3"/>
    <w:rsid w:val="00CA53DE"/>
    <w:rsid w:val="00CA58C3"/>
    <w:rsid w:val="00CA5BC9"/>
    <w:rsid w:val="00CA6A55"/>
    <w:rsid w:val="00CA6DEF"/>
    <w:rsid w:val="00CB156F"/>
    <w:rsid w:val="00CB1BBD"/>
    <w:rsid w:val="00CB2019"/>
    <w:rsid w:val="00CB3777"/>
    <w:rsid w:val="00CB494F"/>
    <w:rsid w:val="00CB5A73"/>
    <w:rsid w:val="00CC0209"/>
    <w:rsid w:val="00CC0BB4"/>
    <w:rsid w:val="00CC12DF"/>
    <w:rsid w:val="00CC19D4"/>
    <w:rsid w:val="00CC3C45"/>
    <w:rsid w:val="00CC3CAF"/>
    <w:rsid w:val="00CC4D8D"/>
    <w:rsid w:val="00CC63E0"/>
    <w:rsid w:val="00CC6FDD"/>
    <w:rsid w:val="00CD1689"/>
    <w:rsid w:val="00CD2492"/>
    <w:rsid w:val="00CD47BA"/>
    <w:rsid w:val="00CD5427"/>
    <w:rsid w:val="00CD604A"/>
    <w:rsid w:val="00CD6791"/>
    <w:rsid w:val="00CD7B6F"/>
    <w:rsid w:val="00CE15C4"/>
    <w:rsid w:val="00CE2E6A"/>
    <w:rsid w:val="00CE2EA9"/>
    <w:rsid w:val="00CE41DA"/>
    <w:rsid w:val="00CE6D64"/>
    <w:rsid w:val="00CE74D9"/>
    <w:rsid w:val="00CF053F"/>
    <w:rsid w:val="00CF0A55"/>
    <w:rsid w:val="00CF2C90"/>
    <w:rsid w:val="00CF301C"/>
    <w:rsid w:val="00CF7C8B"/>
    <w:rsid w:val="00D00180"/>
    <w:rsid w:val="00D00793"/>
    <w:rsid w:val="00D01385"/>
    <w:rsid w:val="00D01D15"/>
    <w:rsid w:val="00D04083"/>
    <w:rsid w:val="00D078E1"/>
    <w:rsid w:val="00D102D2"/>
    <w:rsid w:val="00D10AEF"/>
    <w:rsid w:val="00D12A7F"/>
    <w:rsid w:val="00D131D6"/>
    <w:rsid w:val="00D135BA"/>
    <w:rsid w:val="00D15483"/>
    <w:rsid w:val="00D17A1D"/>
    <w:rsid w:val="00D20C2E"/>
    <w:rsid w:val="00D20C77"/>
    <w:rsid w:val="00D21416"/>
    <w:rsid w:val="00D218AC"/>
    <w:rsid w:val="00D221A6"/>
    <w:rsid w:val="00D232A2"/>
    <w:rsid w:val="00D23522"/>
    <w:rsid w:val="00D25C90"/>
    <w:rsid w:val="00D25F5C"/>
    <w:rsid w:val="00D26196"/>
    <w:rsid w:val="00D26389"/>
    <w:rsid w:val="00D279AE"/>
    <w:rsid w:val="00D30900"/>
    <w:rsid w:val="00D30F08"/>
    <w:rsid w:val="00D311EA"/>
    <w:rsid w:val="00D31C61"/>
    <w:rsid w:val="00D323BE"/>
    <w:rsid w:val="00D32F98"/>
    <w:rsid w:val="00D358D8"/>
    <w:rsid w:val="00D35F4C"/>
    <w:rsid w:val="00D365C5"/>
    <w:rsid w:val="00D36C95"/>
    <w:rsid w:val="00D405AB"/>
    <w:rsid w:val="00D41280"/>
    <w:rsid w:val="00D420FF"/>
    <w:rsid w:val="00D43528"/>
    <w:rsid w:val="00D45EB0"/>
    <w:rsid w:val="00D46125"/>
    <w:rsid w:val="00D52ABB"/>
    <w:rsid w:val="00D52F46"/>
    <w:rsid w:val="00D53635"/>
    <w:rsid w:val="00D5423B"/>
    <w:rsid w:val="00D54F4E"/>
    <w:rsid w:val="00D55865"/>
    <w:rsid w:val="00D56274"/>
    <w:rsid w:val="00D60BA4"/>
    <w:rsid w:val="00D61E03"/>
    <w:rsid w:val="00D62F23"/>
    <w:rsid w:val="00D6528F"/>
    <w:rsid w:val="00D67A7A"/>
    <w:rsid w:val="00D67F8F"/>
    <w:rsid w:val="00D711A5"/>
    <w:rsid w:val="00D713FF"/>
    <w:rsid w:val="00D72421"/>
    <w:rsid w:val="00D734E5"/>
    <w:rsid w:val="00D73F97"/>
    <w:rsid w:val="00D745A7"/>
    <w:rsid w:val="00D74D0A"/>
    <w:rsid w:val="00D767FA"/>
    <w:rsid w:val="00D80CCE"/>
    <w:rsid w:val="00D81D74"/>
    <w:rsid w:val="00D81D90"/>
    <w:rsid w:val="00D82202"/>
    <w:rsid w:val="00D83104"/>
    <w:rsid w:val="00D83137"/>
    <w:rsid w:val="00D85213"/>
    <w:rsid w:val="00D85A93"/>
    <w:rsid w:val="00D87FF1"/>
    <w:rsid w:val="00D92483"/>
    <w:rsid w:val="00D92633"/>
    <w:rsid w:val="00D93CE9"/>
    <w:rsid w:val="00D94DB4"/>
    <w:rsid w:val="00D951CB"/>
    <w:rsid w:val="00DA11ED"/>
    <w:rsid w:val="00DA2288"/>
    <w:rsid w:val="00DA243E"/>
    <w:rsid w:val="00DA298C"/>
    <w:rsid w:val="00DA549B"/>
    <w:rsid w:val="00DB030C"/>
    <w:rsid w:val="00DB2280"/>
    <w:rsid w:val="00DB403F"/>
    <w:rsid w:val="00DB449E"/>
    <w:rsid w:val="00DB4A3A"/>
    <w:rsid w:val="00DB4FA7"/>
    <w:rsid w:val="00DB7D94"/>
    <w:rsid w:val="00DC1AA9"/>
    <w:rsid w:val="00DC2000"/>
    <w:rsid w:val="00DC6E11"/>
    <w:rsid w:val="00DC7A12"/>
    <w:rsid w:val="00DD1B91"/>
    <w:rsid w:val="00DD368B"/>
    <w:rsid w:val="00DD6E29"/>
    <w:rsid w:val="00DE2DA8"/>
    <w:rsid w:val="00DE343C"/>
    <w:rsid w:val="00DE345F"/>
    <w:rsid w:val="00DE575C"/>
    <w:rsid w:val="00DE578A"/>
    <w:rsid w:val="00DE5D57"/>
    <w:rsid w:val="00DE5D8B"/>
    <w:rsid w:val="00DE6AC5"/>
    <w:rsid w:val="00DE6E7E"/>
    <w:rsid w:val="00DE7CC4"/>
    <w:rsid w:val="00DE7DDA"/>
    <w:rsid w:val="00DF1D1E"/>
    <w:rsid w:val="00DF2583"/>
    <w:rsid w:val="00DF54D9"/>
    <w:rsid w:val="00DF6973"/>
    <w:rsid w:val="00DF79E9"/>
    <w:rsid w:val="00E00687"/>
    <w:rsid w:val="00E008CB"/>
    <w:rsid w:val="00E021C8"/>
    <w:rsid w:val="00E03D32"/>
    <w:rsid w:val="00E03E8B"/>
    <w:rsid w:val="00E04465"/>
    <w:rsid w:val="00E04E34"/>
    <w:rsid w:val="00E05FDB"/>
    <w:rsid w:val="00E06578"/>
    <w:rsid w:val="00E10991"/>
    <w:rsid w:val="00E10DC6"/>
    <w:rsid w:val="00E11F8E"/>
    <w:rsid w:val="00E12B7F"/>
    <w:rsid w:val="00E145EA"/>
    <w:rsid w:val="00E175E1"/>
    <w:rsid w:val="00E17944"/>
    <w:rsid w:val="00E17BC5"/>
    <w:rsid w:val="00E20A86"/>
    <w:rsid w:val="00E22722"/>
    <w:rsid w:val="00E2347F"/>
    <w:rsid w:val="00E276B2"/>
    <w:rsid w:val="00E32353"/>
    <w:rsid w:val="00E33FD4"/>
    <w:rsid w:val="00E34ED6"/>
    <w:rsid w:val="00E3596E"/>
    <w:rsid w:val="00E364EF"/>
    <w:rsid w:val="00E4094E"/>
    <w:rsid w:val="00E426A4"/>
    <w:rsid w:val="00E42D22"/>
    <w:rsid w:val="00E4573C"/>
    <w:rsid w:val="00E458E2"/>
    <w:rsid w:val="00E45F37"/>
    <w:rsid w:val="00E466F2"/>
    <w:rsid w:val="00E50A17"/>
    <w:rsid w:val="00E50BD4"/>
    <w:rsid w:val="00E518B6"/>
    <w:rsid w:val="00E51959"/>
    <w:rsid w:val="00E524EF"/>
    <w:rsid w:val="00E54D4D"/>
    <w:rsid w:val="00E56173"/>
    <w:rsid w:val="00E56899"/>
    <w:rsid w:val="00E56ADD"/>
    <w:rsid w:val="00E575BA"/>
    <w:rsid w:val="00E5788D"/>
    <w:rsid w:val="00E57CC8"/>
    <w:rsid w:val="00E62286"/>
    <w:rsid w:val="00E634B6"/>
    <w:rsid w:val="00E634E3"/>
    <w:rsid w:val="00E645B1"/>
    <w:rsid w:val="00E6586E"/>
    <w:rsid w:val="00E659A6"/>
    <w:rsid w:val="00E724F5"/>
    <w:rsid w:val="00E75C19"/>
    <w:rsid w:val="00E75D2C"/>
    <w:rsid w:val="00E80F31"/>
    <w:rsid w:val="00E82965"/>
    <w:rsid w:val="00E83287"/>
    <w:rsid w:val="00E85102"/>
    <w:rsid w:val="00E8592D"/>
    <w:rsid w:val="00E86633"/>
    <w:rsid w:val="00E876A6"/>
    <w:rsid w:val="00E9497F"/>
    <w:rsid w:val="00E96D0E"/>
    <w:rsid w:val="00EA0AA8"/>
    <w:rsid w:val="00EA14C5"/>
    <w:rsid w:val="00EA1765"/>
    <w:rsid w:val="00EA26EF"/>
    <w:rsid w:val="00EA3241"/>
    <w:rsid w:val="00EA3B5F"/>
    <w:rsid w:val="00EA5786"/>
    <w:rsid w:val="00EA615D"/>
    <w:rsid w:val="00EA75C1"/>
    <w:rsid w:val="00EA7B10"/>
    <w:rsid w:val="00EA7E32"/>
    <w:rsid w:val="00EB141A"/>
    <w:rsid w:val="00EB2DEB"/>
    <w:rsid w:val="00EB40BD"/>
    <w:rsid w:val="00EB6D1A"/>
    <w:rsid w:val="00EB7038"/>
    <w:rsid w:val="00EB7550"/>
    <w:rsid w:val="00EB7C2E"/>
    <w:rsid w:val="00EC0F04"/>
    <w:rsid w:val="00EC1309"/>
    <w:rsid w:val="00EC237D"/>
    <w:rsid w:val="00EC3951"/>
    <w:rsid w:val="00EC5F70"/>
    <w:rsid w:val="00EC670B"/>
    <w:rsid w:val="00EC6AAB"/>
    <w:rsid w:val="00EC6F2A"/>
    <w:rsid w:val="00ED2F32"/>
    <w:rsid w:val="00ED4248"/>
    <w:rsid w:val="00ED60CA"/>
    <w:rsid w:val="00ED64EF"/>
    <w:rsid w:val="00ED6CDA"/>
    <w:rsid w:val="00EE0CAE"/>
    <w:rsid w:val="00EE0EC3"/>
    <w:rsid w:val="00EE1819"/>
    <w:rsid w:val="00EE1A75"/>
    <w:rsid w:val="00EE1B9E"/>
    <w:rsid w:val="00EE1DC0"/>
    <w:rsid w:val="00EE1E62"/>
    <w:rsid w:val="00EE4A1F"/>
    <w:rsid w:val="00EE53EA"/>
    <w:rsid w:val="00EF009A"/>
    <w:rsid w:val="00EF0D0D"/>
    <w:rsid w:val="00EF0ED5"/>
    <w:rsid w:val="00EF1B5A"/>
    <w:rsid w:val="00EF2CCA"/>
    <w:rsid w:val="00EF3554"/>
    <w:rsid w:val="00EF61AC"/>
    <w:rsid w:val="00EF791D"/>
    <w:rsid w:val="00F01325"/>
    <w:rsid w:val="00F0172C"/>
    <w:rsid w:val="00F017B1"/>
    <w:rsid w:val="00F01BA1"/>
    <w:rsid w:val="00F02A89"/>
    <w:rsid w:val="00F03E1B"/>
    <w:rsid w:val="00F04D64"/>
    <w:rsid w:val="00F057E0"/>
    <w:rsid w:val="00F10ADF"/>
    <w:rsid w:val="00F11F8E"/>
    <w:rsid w:val="00F13F47"/>
    <w:rsid w:val="00F16EBD"/>
    <w:rsid w:val="00F214D5"/>
    <w:rsid w:val="00F229EF"/>
    <w:rsid w:val="00F22C62"/>
    <w:rsid w:val="00F24A31"/>
    <w:rsid w:val="00F24E4E"/>
    <w:rsid w:val="00F25B7F"/>
    <w:rsid w:val="00F26059"/>
    <w:rsid w:val="00F2608D"/>
    <w:rsid w:val="00F313B0"/>
    <w:rsid w:val="00F33E73"/>
    <w:rsid w:val="00F343DA"/>
    <w:rsid w:val="00F359F8"/>
    <w:rsid w:val="00F3652C"/>
    <w:rsid w:val="00F366F4"/>
    <w:rsid w:val="00F36803"/>
    <w:rsid w:val="00F376A8"/>
    <w:rsid w:val="00F43D1A"/>
    <w:rsid w:val="00F43E8A"/>
    <w:rsid w:val="00F45528"/>
    <w:rsid w:val="00F46AA1"/>
    <w:rsid w:val="00F47235"/>
    <w:rsid w:val="00F47A9A"/>
    <w:rsid w:val="00F50554"/>
    <w:rsid w:val="00F51771"/>
    <w:rsid w:val="00F53F91"/>
    <w:rsid w:val="00F56255"/>
    <w:rsid w:val="00F57321"/>
    <w:rsid w:val="00F57CD4"/>
    <w:rsid w:val="00F613E9"/>
    <w:rsid w:val="00F6168C"/>
    <w:rsid w:val="00F61A72"/>
    <w:rsid w:val="00F62D1F"/>
    <w:rsid w:val="00F6371E"/>
    <w:rsid w:val="00F63E0E"/>
    <w:rsid w:val="00F65951"/>
    <w:rsid w:val="00F65DE4"/>
    <w:rsid w:val="00F66F13"/>
    <w:rsid w:val="00F707AC"/>
    <w:rsid w:val="00F74073"/>
    <w:rsid w:val="00F74AC4"/>
    <w:rsid w:val="00F74D7D"/>
    <w:rsid w:val="00F7614E"/>
    <w:rsid w:val="00F77453"/>
    <w:rsid w:val="00F808F3"/>
    <w:rsid w:val="00F80F82"/>
    <w:rsid w:val="00F81A04"/>
    <w:rsid w:val="00F84116"/>
    <w:rsid w:val="00F84177"/>
    <w:rsid w:val="00F8524E"/>
    <w:rsid w:val="00F87437"/>
    <w:rsid w:val="00F8778E"/>
    <w:rsid w:val="00F87D67"/>
    <w:rsid w:val="00F87D80"/>
    <w:rsid w:val="00F905F8"/>
    <w:rsid w:val="00F90E04"/>
    <w:rsid w:val="00F9189A"/>
    <w:rsid w:val="00F928C5"/>
    <w:rsid w:val="00F970A1"/>
    <w:rsid w:val="00FA1759"/>
    <w:rsid w:val="00FA277B"/>
    <w:rsid w:val="00FB06ED"/>
    <w:rsid w:val="00FB5758"/>
    <w:rsid w:val="00FB76DB"/>
    <w:rsid w:val="00FB7DB2"/>
    <w:rsid w:val="00FC084D"/>
    <w:rsid w:val="00FC36AB"/>
    <w:rsid w:val="00FC3905"/>
    <w:rsid w:val="00FC3F21"/>
    <w:rsid w:val="00FC5001"/>
    <w:rsid w:val="00FC5A5F"/>
    <w:rsid w:val="00FC6AB4"/>
    <w:rsid w:val="00FC6EC6"/>
    <w:rsid w:val="00FD09E3"/>
    <w:rsid w:val="00FD1727"/>
    <w:rsid w:val="00FD1D6B"/>
    <w:rsid w:val="00FD2798"/>
    <w:rsid w:val="00FD2A72"/>
    <w:rsid w:val="00FD41EE"/>
    <w:rsid w:val="00FD5819"/>
    <w:rsid w:val="00FE15EB"/>
    <w:rsid w:val="00FE4F08"/>
    <w:rsid w:val="00FE5C0A"/>
    <w:rsid w:val="00FE64E4"/>
    <w:rsid w:val="00FF0D35"/>
    <w:rsid w:val="00FF0DF2"/>
    <w:rsid w:val="00FF227C"/>
    <w:rsid w:val="00FF3A5A"/>
    <w:rsid w:val="00FF5128"/>
    <w:rsid w:val="00FF65A6"/>
    <w:rsid w:val="00FF6ED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fill="f" fillcolor="white" stroke="f">
      <v:fill color="white" on="f"/>
      <v:stroke on="f"/>
    </o:shapedefaults>
    <o:shapelayout v:ext="edit">
      <o:idmap v:ext="edit" data="1"/>
    </o:shapelayout>
  </w:shapeDefaults>
  <w:decimalSymbol w:val=","/>
  <w:listSeparator w:val=";"/>
  <w14:docId w14:val="7246D275"/>
  <w15:docId w15:val="{F84E9B26-78FB-4A03-ACBD-BB531498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4"/>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link w:val="FooterChar"/>
    <w:uiPriority w:val="99"/>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link w:val="TitleChar"/>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uiPriority w:val="99"/>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link w:val="BodyTextChar"/>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paragraph" w:styleId="CommentSubject">
    <w:name w:val="annotation subject"/>
    <w:basedOn w:val="CommentText"/>
    <w:next w:val="CommentText"/>
    <w:link w:val="CommentSubjectChar"/>
    <w:rsid w:val="00EE0CAE"/>
    <w:rPr>
      <w:b/>
      <w:bCs/>
    </w:rPr>
  </w:style>
  <w:style w:type="character" w:customStyle="1" w:styleId="CommentTextChar">
    <w:name w:val="Comment Text Char"/>
    <w:link w:val="CommentText"/>
    <w:semiHidden/>
    <w:rsid w:val="00EE0CAE"/>
    <w:rPr>
      <w:rFonts w:ascii="Verdana" w:hAnsi="Verdana"/>
    </w:rPr>
  </w:style>
  <w:style w:type="character" w:customStyle="1" w:styleId="CommentSubjectChar">
    <w:name w:val="Comment Subject Char"/>
    <w:link w:val="CommentSubject"/>
    <w:rsid w:val="00EE0CAE"/>
    <w:rPr>
      <w:rFonts w:ascii="Verdana" w:hAnsi="Verdana"/>
      <w:b/>
      <w:bCs/>
    </w:rPr>
  </w:style>
  <w:style w:type="paragraph" w:styleId="Revision">
    <w:name w:val="Revision"/>
    <w:hidden/>
    <w:uiPriority w:val="99"/>
    <w:semiHidden/>
    <w:rsid w:val="008A646F"/>
    <w:rPr>
      <w:rFonts w:ascii="Verdana" w:hAnsi="Verdana"/>
      <w:sz w:val="18"/>
      <w:szCs w:val="24"/>
    </w:rPr>
  </w:style>
  <w:style w:type="paragraph" w:styleId="ListParagraph">
    <w:name w:val="List Paragraph"/>
    <w:basedOn w:val="Normal"/>
    <w:uiPriority w:val="34"/>
    <w:qFormat/>
    <w:rsid w:val="00A975DA"/>
    <w:pPr>
      <w:ind w:left="720"/>
      <w:contextualSpacing/>
    </w:pPr>
  </w:style>
  <w:style w:type="character" w:styleId="Strong">
    <w:name w:val="Strong"/>
    <w:basedOn w:val="DefaultParagraphFont"/>
    <w:uiPriority w:val="22"/>
    <w:qFormat/>
    <w:rsid w:val="002E38A1"/>
    <w:rPr>
      <w:b/>
      <w:bCs/>
    </w:rPr>
  </w:style>
  <w:style w:type="character" w:styleId="Emphasis">
    <w:name w:val="Emphasis"/>
    <w:basedOn w:val="DefaultParagraphFont"/>
    <w:uiPriority w:val="20"/>
    <w:qFormat/>
    <w:rsid w:val="002E38A1"/>
    <w:rPr>
      <w:i/>
      <w:iCs/>
    </w:rPr>
  </w:style>
  <w:style w:type="character" w:customStyle="1" w:styleId="normaltextrun">
    <w:name w:val="normaltextrun"/>
    <w:basedOn w:val="DefaultParagraphFont"/>
    <w:rsid w:val="00B64454"/>
  </w:style>
  <w:style w:type="character" w:styleId="FollowedHyperlink">
    <w:name w:val="FollowedHyperlink"/>
    <w:basedOn w:val="DefaultParagraphFont"/>
    <w:semiHidden/>
    <w:unhideWhenUsed/>
    <w:rsid w:val="00C950A6"/>
    <w:rPr>
      <w:color w:val="954F72" w:themeColor="followedHyperlink"/>
      <w:u w:val="single"/>
    </w:rPr>
  </w:style>
  <w:style w:type="character" w:customStyle="1" w:styleId="TitleChar">
    <w:name w:val="Title Char"/>
    <w:basedOn w:val="DefaultParagraphFont"/>
    <w:link w:val="Title"/>
    <w:rsid w:val="00CC3CAF"/>
    <w:rPr>
      <w:rFonts w:ascii="Verdana" w:hAnsi="Verdana" w:cs="Arial"/>
      <w:b/>
      <w:bCs/>
      <w:kern w:val="28"/>
      <w:sz w:val="24"/>
      <w:szCs w:val="32"/>
    </w:rPr>
  </w:style>
  <w:style w:type="character" w:customStyle="1" w:styleId="FooterChar">
    <w:name w:val="Footer Char"/>
    <w:basedOn w:val="DefaultParagraphFont"/>
    <w:link w:val="Footer"/>
    <w:uiPriority w:val="99"/>
    <w:rsid w:val="00844CC1"/>
    <w:rPr>
      <w:rFonts w:ascii="Verdana" w:hAnsi="Verdana"/>
      <w:sz w:val="18"/>
      <w:szCs w:val="24"/>
    </w:rPr>
  </w:style>
  <w:style w:type="character" w:customStyle="1" w:styleId="BodyTextChar">
    <w:name w:val="Body Text Char"/>
    <w:basedOn w:val="DefaultParagraphFont"/>
    <w:link w:val="BodyText"/>
    <w:rsid w:val="00844CC1"/>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297558">
      <w:bodyDiv w:val="1"/>
      <w:marLeft w:val="0"/>
      <w:marRight w:val="0"/>
      <w:marTop w:val="0"/>
      <w:marBottom w:val="0"/>
      <w:divBdr>
        <w:top w:val="none" w:sz="0" w:space="0" w:color="auto"/>
        <w:left w:val="none" w:sz="0" w:space="0" w:color="auto"/>
        <w:bottom w:val="none" w:sz="0" w:space="0" w:color="auto"/>
        <w:right w:val="none" w:sz="0" w:space="0" w:color="auto"/>
      </w:divBdr>
    </w:div>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1131400">
      <w:bodyDiv w:val="1"/>
      <w:marLeft w:val="0"/>
      <w:marRight w:val="0"/>
      <w:marTop w:val="0"/>
      <w:marBottom w:val="0"/>
      <w:divBdr>
        <w:top w:val="none" w:sz="0" w:space="0" w:color="auto"/>
        <w:left w:val="none" w:sz="0" w:space="0" w:color="auto"/>
        <w:bottom w:val="none" w:sz="0" w:space="0" w:color="auto"/>
        <w:right w:val="none" w:sz="0" w:space="0" w:color="auto"/>
      </w:divBdr>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855770803">
      <w:bodyDiv w:val="1"/>
      <w:marLeft w:val="0"/>
      <w:marRight w:val="0"/>
      <w:marTop w:val="0"/>
      <w:marBottom w:val="0"/>
      <w:divBdr>
        <w:top w:val="none" w:sz="0" w:space="0" w:color="auto"/>
        <w:left w:val="none" w:sz="0" w:space="0" w:color="auto"/>
        <w:bottom w:val="none" w:sz="0" w:space="0" w:color="auto"/>
        <w:right w:val="none" w:sz="0" w:space="0" w:color="auto"/>
      </w:divBdr>
    </w:div>
    <w:div w:id="857082577">
      <w:bodyDiv w:val="1"/>
      <w:marLeft w:val="0"/>
      <w:marRight w:val="0"/>
      <w:marTop w:val="0"/>
      <w:marBottom w:val="0"/>
      <w:divBdr>
        <w:top w:val="none" w:sz="0" w:space="0" w:color="auto"/>
        <w:left w:val="none" w:sz="0" w:space="0" w:color="auto"/>
        <w:bottom w:val="none" w:sz="0" w:space="0" w:color="auto"/>
        <w:right w:val="none" w:sz="0" w:space="0" w:color="auto"/>
      </w:divBdr>
    </w:div>
    <w:div w:id="1002583169">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D00FE1C956BA45BF0DCD7E4E5F6184" ma:contentTypeVersion="0" ma:contentTypeDescription="Create a new document." ma:contentTypeScope="" ma:versionID="e28042f44dbb528eb8800456998bbc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CDE89-483E-428B-A99C-5609D610083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79362BCB-F48B-41C0-B6E9-3A9E794E40A8}">
  <ds:schemaRefs>
    <ds:schemaRef ds:uri="http://schemas.microsoft.com/sharepoint/v3/contenttype/forms"/>
  </ds:schemaRefs>
</ds:datastoreItem>
</file>

<file path=customXml/itemProps3.xml><?xml version="1.0" encoding="utf-8"?>
<ds:datastoreItem xmlns:ds="http://schemas.openxmlformats.org/officeDocument/2006/customXml" ds:itemID="{808C2DF6-40D1-4423-8226-7E163B4C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17F69DF-DA20-490B-AEEB-32B7963D7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C09982AC</Template>
  <TotalTime>22</TotalTime>
  <Pages>20</Pages>
  <Words>7039</Words>
  <Characters>38717</Characters>
  <Application>Microsoft Office Word</Application>
  <DocSecurity>0</DocSecurity>
  <Lines>322</Lines>
  <Paragraphs>91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45665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creator>Leeflang, Mario</dc:creator>
  <cp:lastModifiedBy>Hengelaar, Dieke</cp:lastModifiedBy>
  <cp:revision>5</cp:revision>
  <cp:lastPrinted>2017-02-03T12:54:00Z</cp:lastPrinted>
  <dcterms:created xsi:type="dcterms:W3CDTF">2017-08-23T12:27:00Z</dcterms:created>
  <dcterms:modified xsi:type="dcterms:W3CDTF">2017-08-25T09:48:00Z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0x01010088D00FE1C956BA45BF0DCD7E4E5F6184</vt:lpwstr>
  </property>
</Properties>
</file>